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A34084" w:rsidRDefault="00A34084" w:rsidP="00A3408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34084" w:rsidRDefault="00A34084" w:rsidP="00A3408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34084" w:rsidRDefault="00A34084" w:rsidP="00A3408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34084" w:rsidRDefault="00A34084" w:rsidP="00A3408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34084" w:rsidRDefault="00A34084" w:rsidP="00A3408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5F132A" w:rsidRPr="00A34084" w:rsidRDefault="00A34084" w:rsidP="00A3408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 Верхнес</w:t>
      </w:r>
      <w:r w:rsidRPr="00B142D4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2788031</wp:posOffset>
            </wp:positionH>
            <wp:positionV relativeFrom="page">
              <wp:posOffset>826618</wp:posOffset>
            </wp:positionV>
            <wp:extent cx="379730" cy="612775"/>
            <wp:effectExtent l="0" t="0" r="1270" b="0"/>
            <wp:wrapThrough wrapText="bothSides">
              <wp:wrapPolygon edited="0">
                <wp:start x="2167" y="0"/>
                <wp:lineTo x="0" y="1343"/>
                <wp:lineTo x="0" y="20145"/>
                <wp:lineTo x="7585" y="20817"/>
                <wp:lineTo x="13003" y="20817"/>
                <wp:lineTo x="20589" y="20145"/>
                <wp:lineTo x="20589" y="1343"/>
                <wp:lineTo x="18421" y="0"/>
                <wp:lineTo x="2167" y="0"/>
              </wp:wrapPolygon>
            </wp:wrapThrough>
            <wp:docPr id="8" name="Рисунок 8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32"/>
          <w:szCs w:val="32"/>
        </w:rPr>
        <w:t>алдинского городского округа</w:t>
      </w: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360F7F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в части 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A34084"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F8" w:rsidRDefault="002922F8" w:rsidP="00356146">
      <w:r>
        <w:separator/>
      </w:r>
    </w:p>
  </w:endnote>
  <w:endnote w:type="continuationSeparator" w:id="0">
    <w:p w:rsidR="002922F8" w:rsidRDefault="002922F8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F8" w:rsidRDefault="002922F8" w:rsidP="00356146">
      <w:r>
        <w:separator/>
      </w:r>
    </w:p>
  </w:footnote>
  <w:footnote w:type="continuationSeparator" w:id="0">
    <w:p w:rsidR="002922F8" w:rsidRDefault="002922F8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922F8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842D52"/>
    <w:rsid w:val="00990466"/>
    <w:rsid w:val="009E79A0"/>
    <w:rsid w:val="00A34084"/>
    <w:rsid w:val="00B11518"/>
    <w:rsid w:val="00B35395"/>
    <w:rsid w:val="00C00E14"/>
    <w:rsid w:val="00D34DFC"/>
    <w:rsid w:val="00D9718B"/>
    <w:rsid w:val="00ED4F76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81C2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Корж Мария Сергеевна</cp:lastModifiedBy>
  <cp:revision>14</cp:revision>
  <dcterms:created xsi:type="dcterms:W3CDTF">2024-02-08T11:22:00Z</dcterms:created>
  <dcterms:modified xsi:type="dcterms:W3CDTF">2024-02-29T07:08:00Z</dcterms:modified>
</cp:coreProperties>
</file>