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C7" w:rsidRPr="00C54740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5474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Отчет</w:t>
      </w:r>
    </w:p>
    <w:p w:rsidR="001E00C7" w:rsidRPr="00C54740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5474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о реализации комплексной </w:t>
      </w:r>
      <w:proofErr w:type="gramStart"/>
      <w:r w:rsidRPr="00C5474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муниципальной  программы</w:t>
      </w:r>
      <w:proofErr w:type="gramEnd"/>
      <w:r w:rsidRPr="00C5474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«Повышение эффективности управления муниципальными финансами </w:t>
      </w:r>
      <w:proofErr w:type="spellStart"/>
      <w:r w:rsidRPr="00C5474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Верхнесалдинского</w:t>
      </w:r>
      <w:proofErr w:type="spellEnd"/>
      <w:r w:rsidRPr="00C5474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городского округа до 2018 года»</w:t>
      </w:r>
    </w:p>
    <w:p w:rsidR="001E00C7" w:rsidRPr="00C54740" w:rsidRDefault="001E00C7" w:rsidP="0001306B">
      <w:pPr>
        <w:ind w:right="-1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форма 1</w:t>
      </w:r>
    </w:p>
    <w:p w:rsidR="001E00C7" w:rsidRPr="00C54740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Финансирование мероприятий за</w:t>
      </w:r>
      <w:r w:rsidR="005F0853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8D24A6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1 квартал 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8D24A6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8D24A6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p w:rsidR="001E00C7" w:rsidRPr="00C54740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44"/>
        <w:gridCol w:w="552"/>
        <w:gridCol w:w="1053"/>
        <w:gridCol w:w="344"/>
        <w:gridCol w:w="344"/>
        <w:gridCol w:w="1053"/>
        <w:gridCol w:w="344"/>
        <w:gridCol w:w="344"/>
        <w:gridCol w:w="1053"/>
        <w:gridCol w:w="344"/>
        <w:gridCol w:w="552"/>
        <w:gridCol w:w="1053"/>
        <w:gridCol w:w="344"/>
        <w:gridCol w:w="344"/>
        <w:gridCol w:w="1053"/>
      </w:tblGrid>
      <w:tr w:rsidR="001E00C7" w:rsidRPr="00C547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spacing w:after="136" w:line="215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C54740" w:rsidRDefault="001E00C7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1E00C7" w:rsidRPr="00C54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C54740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Всего, в том числе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внебюджетные источники</w:t>
            </w:r>
          </w:p>
        </w:tc>
      </w:tr>
      <w:tr w:rsidR="001E00C7" w:rsidRPr="00C54740">
        <w:trPr>
          <w:cantSplit/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C54740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C5474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C54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</w:tr>
      <w:tr w:rsidR="001E00C7" w:rsidRPr="00C5474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 по программе:</w:t>
            </w:r>
          </w:p>
        </w:tc>
      </w:tr>
      <w:tr w:rsidR="0021131A" w:rsidRPr="00C5474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71273C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0F182F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2C1700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71273C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0F182F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2C1700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  <w:tr w:rsidR="001E00C7" w:rsidRPr="00C54740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Капитальные вложения</w:t>
            </w:r>
          </w:p>
        </w:tc>
      </w:tr>
      <w:tr w:rsidR="001E00C7" w:rsidRPr="00C5474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</w:tr>
      <w:tr w:rsidR="001E00C7" w:rsidRPr="00C54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</w:tr>
      <w:tr w:rsidR="001E00C7" w:rsidRPr="00C54740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740">
              <w:rPr>
                <w:sz w:val="20"/>
                <w:szCs w:val="20"/>
              </w:rPr>
              <w:t>0</w:t>
            </w:r>
          </w:p>
        </w:tc>
      </w:tr>
      <w:tr w:rsidR="001E00C7" w:rsidRPr="00C54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C5474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Прочие нужды</w:t>
            </w:r>
          </w:p>
        </w:tc>
      </w:tr>
      <w:tr w:rsidR="0021131A" w:rsidRPr="00C54740">
        <w:trPr>
          <w:cantSplit/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71273C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0F182F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2C1700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71273C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0F182F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C54740" w:rsidRDefault="002C1700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191,8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C5474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</w:tbl>
    <w:p w:rsidR="001E00C7" w:rsidRPr="00C5474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C5474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C5474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C5474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C5474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C54740" w:rsidRDefault="001E00C7" w:rsidP="0001306B">
      <w:pPr>
        <w:spacing w:after="136" w:line="215" w:lineRule="atLeast"/>
        <w:ind w:left="-142"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C54740">
        <w:rPr>
          <w:rFonts w:ascii="Times New Roman" w:hAnsi="Times New Roman" w:cs="Times New Roman"/>
          <w:color w:val="242424"/>
          <w:sz w:val="28"/>
          <w:szCs w:val="28"/>
        </w:rPr>
        <w:t>Форма 2</w:t>
      </w:r>
    </w:p>
    <w:p w:rsidR="001E00C7" w:rsidRPr="00C54740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C54740">
        <w:rPr>
          <w:rFonts w:ascii="Times New Roman" w:hAnsi="Times New Roman" w:cs="Times New Roman"/>
          <w:color w:val="242424"/>
          <w:sz w:val="28"/>
          <w:szCs w:val="28"/>
        </w:rPr>
        <w:t xml:space="preserve">Достижение целевых показателей </w:t>
      </w:r>
      <w:r w:rsidRPr="00C54740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C54740" w:rsidRDefault="005F0853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A53E57" w:rsidRPr="00C54740">
        <w:rPr>
          <w:rFonts w:ascii="Times New Roman" w:hAnsi="Times New Roman" w:cs="Times New Roman"/>
          <w:color w:val="333333"/>
          <w:kern w:val="36"/>
          <w:sz w:val="28"/>
          <w:szCs w:val="28"/>
          <w:lang w:val="en-US"/>
        </w:rPr>
        <w:t>I</w:t>
      </w:r>
      <w:r w:rsidR="00A53E5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квартал </w:t>
      </w:r>
      <w:r w:rsidR="001E00C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A53E5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="001E00C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A53E5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tbl>
      <w:tblPr>
        <w:tblW w:w="9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77"/>
        <w:gridCol w:w="1465"/>
        <w:gridCol w:w="1545"/>
        <w:gridCol w:w="1290"/>
        <w:gridCol w:w="236"/>
        <w:gridCol w:w="142"/>
        <w:gridCol w:w="1024"/>
      </w:tblGrid>
      <w:tr w:rsidR="001E00C7" w:rsidRPr="00C54740">
        <w:tc>
          <w:tcPr>
            <w:tcW w:w="1134" w:type="dxa"/>
            <w:vMerge w:val="restart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bookmarkStart w:id="0" w:name="sub_1311"/>
            <w:bookmarkEnd w:id="0"/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 целевого показателя</w:t>
            </w:r>
          </w:p>
        </w:tc>
        <w:tc>
          <w:tcPr>
            <w:tcW w:w="2977" w:type="dxa"/>
            <w:vMerge w:val="restart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65" w:type="dxa"/>
            <w:vMerge w:val="restart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Единица измерения</w:t>
            </w:r>
          </w:p>
        </w:tc>
        <w:tc>
          <w:tcPr>
            <w:tcW w:w="4237" w:type="dxa"/>
            <w:gridSpan w:val="5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Значение целевого показателя</w:t>
            </w:r>
          </w:p>
        </w:tc>
      </w:tr>
      <w:tr w:rsidR="001E00C7" w:rsidRPr="00C54740">
        <w:trPr>
          <w:trHeight w:val="620"/>
        </w:trPr>
        <w:tc>
          <w:tcPr>
            <w:tcW w:w="1134" w:type="dxa"/>
            <w:vMerge/>
            <w:vAlign w:val="center"/>
          </w:tcPr>
          <w:p w:rsidR="001E00C7" w:rsidRPr="00C54740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E00C7" w:rsidRPr="00C54740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E00C7" w:rsidRPr="00C54740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545" w:type="dxa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планируемое </w:t>
            </w:r>
          </w:p>
          <w:p w:rsidR="001E00C7" w:rsidRPr="00C5474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 текущий год</w:t>
            </w:r>
          </w:p>
        </w:tc>
        <w:tc>
          <w:tcPr>
            <w:tcW w:w="1526" w:type="dxa"/>
            <w:gridSpan w:val="2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фактическое за отчетный</w:t>
            </w:r>
          </w:p>
          <w:p w:rsidR="001E00C7" w:rsidRPr="00C5474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период</w:t>
            </w:r>
          </w:p>
        </w:tc>
        <w:tc>
          <w:tcPr>
            <w:tcW w:w="1166" w:type="dxa"/>
            <w:gridSpan w:val="2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</w:tcPr>
          <w:p w:rsidR="001E00C7" w:rsidRPr="00C5474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65" w:type="dxa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45" w:type="dxa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gridSpan w:val="2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1E00C7" w:rsidRPr="00C5474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E00C7" w:rsidRPr="00C54740">
        <w:trPr>
          <w:trHeight w:val="422"/>
        </w:trPr>
        <w:tc>
          <w:tcPr>
            <w:tcW w:w="1134" w:type="dxa"/>
          </w:tcPr>
          <w:p w:rsidR="001E00C7" w:rsidRPr="00C54740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sub_65"/>
          </w:p>
          <w:p w:rsidR="001E00C7" w:rsidRPr="00C54740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color w:val="1D85B3"/>
                <w:sz w:val="20"/>
                <w:szCs w:val="20"/>
                <w:u w:val="single"/>
                <w:bdr w:val="none" w:sz="0" w:space="0" w:color="auto" w:frame="1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spacing w:after="0" w:line="215" w:lineRule="atLeast"/>
              <w:ind w:left="1196"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«ОБЕСПЕЧЕНИЕ ДОЛГОСРОЧНОЙ УСТОЙЧИВОСТИ И </w:t>
            </w:r>
          </w:p>
          <w:p w:rsidR="001E00C7" w:rsidRPr="00C54740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СБАЛАНСИРОВАННОСТИ МЕСТНОГО БЮДЖЕТА»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прогноза социально-экономического развития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668" w:type="dxa"/>
            <w:gridSpan w:val="3"/>
          </w:tcPr>
          <w:p w:rsidR="001E00C7" w:rsidRPr="00C54740" w:rsidRDefault="004978E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02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Отношение объема муниципального долга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остатков средств на счете по состоянию на 01 января года, следующего за отчетным)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</w:t>
            </w:r>
          </w:p>
        </w:tc>
        <w:tc>
          <w:tcPr>
            <w:tcW w:w="1668" w:type="dxa"/>
            <w:gridSpan w:val="3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024" w:type="dxa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Исполнение мероприятий, предусмотренных Указами Президента Российской Федерации от 07 мая 2012 года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68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Par626"/>
            <w:bookmarkEnd w:id="2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2. «РАЗВИТИЕ ПРОГРАММНО-ЦЕЛЕВОГО ПЛАНИРОВАНИЯ»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актуального Порядка формирования и реализации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Среднее значение оценки эффективности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21131A" w:rsidRPr="00C5474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C5474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6" w:type="dxa"/>
            <w:gridSpan w:val="2"/>
          </w:tcPr>
          <w:p w:rsidR="001E00C7" w:rsidRPr="00C54740" w:rsidRDefault="00D676DD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в которых отражены показатели муниципальных заданий, к общему числу муниципальных программ органов местного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самоуправления 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формирующих муниципальные задания для подведомственных учреждений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096E6B" w:rsidRPr="00C54740" w:rsidRDefault="008D6C9F" w:rsidP="000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526" w:type="dxa"/>
            <w:gridSpan w:val="2"/>
          </w:tcPr>
          <w:p w:rsidR="001E00C7" w:rsidRPr="00C54740" w:rsidRDefault="001E157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66" w:type="dxa"/>
            <w:gridSpan w:val="2"/>
          </w:tcPr>
          <w:p w:rsidR="001E00C7" w:rsidRPr="00C54740" w:rsidRDefault="00096E6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1E00C7" w:rsidRPr="00C54740">
        <w:trPr>
          <w:trHeight w:val="1030"/>
        </w:trPr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 Формирование местного бюджета в программной структуре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расходов местного бюджета, формируемых в рамках программ, в общем объеме расходов местного бюджета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ниже 95</w:t>
            </w:r>
          </w:p>
        </w:tc>
        <w:tc>
          <w:tcPr>
            <w:tcW w:w="1526" w:type="dxa"/>
            <w:gridSpan w:val="2"/>
          </w:tcPr>
          <w:p w:rsidR="001E00C7" w:rsidRPr="00C5474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D676D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166" w:type="dxa"/>
            <w:gridSpan w:val="2"/>
          </w:tcPr>
          <w:p w:rsidR="001E00C7" w:rsidRPr="00C54740" w:rsidRDefault="001E1575" w:rsidP="0021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</w:t>
            </w:r>
            <w:r w:rsidR="0021131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3. «ПОВЫШЕНИЕ ЭФФЕКТИВНОСТИ СИСТЕМЫ МУНИЦИПАЛЬНОГО ФИНАНСОВОГО КОНТРОЛЯ»</w:t>
            </w:r>
          </w:p>
        </w:tc>
      </w:tr>
      <w:tr w:rsidR="001E00C7" w:rsidRPr="00C54740">
        <w:trPr>
          <w:trHeight w:val="1681"/>
        </w:trPr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Количество проведенных проверок при осуществлении контроля в сфере закупок товаров, работ, услуг для обеспечения муниципальных нужд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0" w:type="dxa"/>
          </w:tcPr>
          <w:p w:rsidR="001E00C7" w:rsidRPr="00C54740" w:rsidRDefault="003738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  <w:gridSpan w:val="3"/>
          </w:tcPr>
          <w:p w:rsidR="001E00C7" w:rsidRPr="00C54740" w:rsidRDefault="003738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актуального Порядка осуществления полномочий по контролю в финансово-бюджетной сфере,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Порядка осуществления распорядителями средств местного бюджета внутреннего финансового контроля и аудита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4. «ПОВЫШЕНИЕ ЭФФЕКТИВНОСТИ МУНИЦИПАЛЬНОГО СЕКТОРА ЭКОНОМИКИ ВЕРХНЕСАЛДИНСКОГО ГОРОДСКОГО ОКРУГА»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Количество муниципальных унитарных предприятий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C54740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0" w:type="dxa"/>
          </w:tcPr>
          <w:p w:rsidR="001E00C7" w:rsidRPr="00C5474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gridSpan w:val="3"/>
          </w:tcPr>
          <w:p w:rsidR="001E00C7" w:rsidRPr="00C54740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Отношение объема безвозмездных и безвозвратных перечислений из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муниципальным унитарным предприятиям в отчетном финансовом году к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объему доходов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перечисления части прибыли муниципальных унитарных предприятий, остающейся после уплаты налогов и обязательных платежей, в отчетном финансовом году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5. «ПОВЫШЕНИЕ ЭФФЕКТИВНОСТИ УПРАВЛЕНИЯ ДОХОДАМИ МЕСТНОГО БЮДЖЕТА»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Темп роста объема налоговых и неналоговых доходов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округа  (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сопоставимых условиях)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90" w:type="dxa"/>
          </w:tcPr>
          <w:p w:rsidR="001E00C7" w:rsidRPr="00C54740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402" w:type="dxa"/>
            <w:gridSpan w:val="3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налоговых и неналоговых доходов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545" w:type="dxa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1290" w:type="dxa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92,96</w:t>
            </w:r>
          </w:p>
        </w:tc>
        <w:tc>
          <w:tcPr>
            <w:tcW w:w="1402" w:type="dxa"/>
            <w:gridSpan w:val="3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 Исполнение прогноза налоговых и неналоговых доходов местного бюджета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290" w:type="dxa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02" w:type="dxa"/>
            <w:gridSpan w:val="3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24,2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4.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рассмотрения обращений налогоплательщиков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о возможности предоставления налоговых льгот и оценки их эффективности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Удельный вес недополученных доходов по местным налогам в результате действия налоговых льгот, установленных представительным органом власти, к общему объему поступивших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местных  налогов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FC2CFA" w:rsidP="00DE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&lt;= 28,1</w:t>
            </w:r>
          </w:p>
        </w:tc>
        <w:tc>
          <w:tcPr>
            <w:tcW w:w="1290" w:type="dxa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будет произведен в 3 квартале</w:t>
            </w:r>
          </w:p>
        </w:tc>
        <w:tc>
          <w:tcPr>
            <w:tcW w:w="1402" w:type="dxa"/>
            <w:gridSpan w:val="3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F6F34" w:rsidRPr="00C54740" w:rsidRDefault="003F6F3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 Оптимизация налоговых льгот и преференций, предоставленных представительным органом власти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835B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Плана мероприятий ("дорожной карты") по повышению доходного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период, утвержденного в сроки, установленные правовым актом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21131A" w:rsidRPr="00C5474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C5474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Подготовка и направление в адрес Министерства финансов Свердловской области отчета и аналитической информации о ходе выполнения Плана ("дорожной карты") по дополнительной мобилизации налоговых и неналоговых доходов </w:t>
            </w:r>
            <w:proofErr w:type="spellStart"/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городского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в сроки, установленные муниципальным правовым актом 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9.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хозяйствующих субъектов, рассмотренных на заседаниях межведомственных комиссий, рабочих групп по вопросам повышения прибыльности (ликвидации убыточности), доведения заработной платы до среднего уровня по видам экономической деятельности и своевременности перечисления хозяйствующими субъектами (налоговыми агентами) удержанных сумм налога на доходы физических лиц, снижения уровня недоимки в бюджет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290" w:type="dxa"/>
          </w:tcPr>
          <w:p w:rsidR="001E00C7" w:rsidRPr="00C54740" w:rsidRDefault="00CD6E5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gridSpan w:val="3"/>
          </w:tcPr>
          <w:p w:rsidR="001E00C7" w:rsidRPr="00C54740" w:rsidRDefault="00CD6E5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проведенных межведомственных совещаний по вопросам повышения доходного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1290" w:type="dxa"/>
          </w:tcPr>
          <w:p w:rsidR="001E00C7" w:rsidRPr="00C54740" w:rsidRDefault="00C3525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2" w:type="dxa"/>
            <w:gridSpan w:val="3"/>
          </w:tcPr>
          <w:p w:rsidR="001E00C7" w:rsidRPr="00C54740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6. «ПОВЫШЕНИЕ ЭФФЕКТИВНОСТИ БЮДЖЕТНЫХ РАСХОДОВ»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Совершенствование Порядка и Методики планирования бюджетных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ассигнований  бюджета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заказчиков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представители которых приняли участие в семинарах, направленных на повышение квалификации в сфере осуществления закупок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0E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E299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0" w:type="dxa"/>
          </w:tcPr>
          <w:p w:rsidR="001E00C7" w:rsidRPr="00C54740" w:rsidRDefault="000E29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0E29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учреждений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реорганизованных в рамках оптимизации сети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учреждений бюджетного сектора экономики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545" w:type="dxa"/>
          </w:tcPr>
          <w:p w:rsidR="001E00C7" w:rsidRPr="00C54740" w:rsidRDefault="001C451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tabs>
                <w:tab w:val="left" w:pos="476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0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работников муниципальных учреждений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заключивших "эффективный контракт", в общей численности работников муниципальных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учреждений 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сферах: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C54740" w:rsidRDefault="00D014B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C54740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C54740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муниципальных учреждений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сферах: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40</w:t>
            </w:r>
          </w:p>
        </w:tc>
        <w:tc>
          <w:tcPr>
            <w:tcW w:w="1290" w:type="dxa"/>
          </w:tcPr>
          <w:p w:rsidR="001E00C7" w:rsidRPr="00C54740" w:rsidRDefault="00D40C4B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02" w:type="dxa"/>
            <w:gridSpan w:val="3"/>
          </w:tcPr>
          <w:p w:rsidR="001E00C7" w:rsidRPr="00C54740" w:rsidRDefault="00D40C4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7. «ПОВЫШЕНИЕ ЭФФЕКТИВНОСТИ ОКАЗАНИЯ МУНИЦИПАЛЬНЫХ УСЛУГ (ВЫПОЛНЯЕМЫХ РАБОТ)»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утвержденного Порядка формирования и ведения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утвержденных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качестве основных видов деятельности, разработанных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утвержденных нормативов затрат на оказание муниципальных услуг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261B7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Порядка разработки, утверждения и применения стандартов качества предоставления муниципальных услуг (работ)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результатов мониторинга оказания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планов по решению выявленных проблем в сферах образования, культуры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начислений администратора доходов, переданных в государственную информационную систему о государственных и муниципальных платежах, к общему количеству начислений администрируемых неналоговых доходов, подлежащих передаче в государственную информационную систему о государственных и муниципальных платежах 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C54740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Независимая оценка соответствия качества фактически предоставленных муниципальных услуг утвержденным требованиям к качеству оказания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36259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90" w:type="dxa"/>
          </w:tcPr>
          <w:p w:rsidR="001E00C7" w:rsidRPr="00C5474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8. «ПОВЫШЕНИЕ ЭФФЕКТИВНОСТИ ДЕЯТЕЛЬНОСТИ ОРГАНОВ МЕСТНОГО САМОУПРАВЛЕНИЯ ВЕРХНЕСАЛДИНСКОГО ГОРОДСКОГО ОКРУГА»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главных распорядителей средств местного бюджета - исполнительных органов муниципальной власти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в отношении которых осуществляется оценка качества финансового менеджмента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проведения мониторинга качества финансового менеджмента, осуществляемого главными распорядителями средств местного бюджета - исполнительными органами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власти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C54740">
        <w:trPr>
          <w:trHeight w:val="3436"/>
        </w:trPr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муниципальных служащих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прошедших обучение по программам дополнительного профессионального образования, в том числе по программам, включающим в себя вопросы повышения эффективности бюджетных расходов, от общего количества муниципальных служащих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90" w:type="dxa"/>
          </w:tcPr>
          <w:p w:rsidR="001E00C7" w:rsidRPr="00C54740" w:rsidRDefault="002F660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14,6</w:t>
            </w:r>
          </w:p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C54740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116,8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679" w:type="dxa"/>
            <w:gridSpan w:val="7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9. «ОБЕСПЕЧЕНИЕ ОТКРЫТОСТИ И ПРОЗРАЧНОСТИ МУНИЦИПАЛЬНЫХ ФИНАНСОВ ВЕРХНЕСАЛДИНСКОГО ГОРОДСКОГО ОКРУГА»</w:t>
            </w:r>
          </w:p>
        </w:tc>
      </w:tr>
      <w:tr w:rsidR="001E00C7" w:rsidRPr="00C54740">
        <w:tc>
          <w:tcPr>
            <w:tcW w:w="1134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Представление жителям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местного бюджета и отчета о его исполнении в доступной форме ("Бюджет для граждан")</w:t>
            </w:r>
          </w:p>
        </w:tc>
        <w:tc>
          <w:tcPr>
            <w:tcW w:w="146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C5474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C54740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C54740"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  <w:lastRenderedPageBreak/>
        <w:t xml:space="preserve">Форма 3 </w:t>
      </w:r>
    </w:p>
    <w:p w:rsidR="001E00C7" w:rsidRPr="00C54740" w:rsidRDefault="001E00C7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плана мероприятий </w:t>
      </w:r>
      <w:r w:rsidRPr="00C54740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C54740" w:rsidRDefault="005F0853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8D24A6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1 квартал </w:t>
      </w:r>
      <w:r w:rsidR="001E00C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8D24A6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="001E00C7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8D24A6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3287"/>
        <w:gridCol w:w="1556"/>
        <w:gridCol w:w="1517"/>
        <w:gridCol w:w="2056"/>
      </w:tblGrid>
      <w:tr w:rsidR="001E00C7" w:rsidRPr="00C54740">
        <w:trPr>
          <w:trHeight w:val="201"/>
        </w:trPr>
        <w:tc>
          <w:tcPr>
            <w:tcW w:w="1437" w:type="dxa"/>
            <w:vMerge w:val="restart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№</w:t>
            </w:r>
          </w:p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строки мероприятия</w:t>
            </w:r>
          </w:p>
        </w:tc>
        <w:tc>
          <w:tcPr>
            <w:tcW w:w="3287" w:type="dxa"/>
            <w:vMerge w:val="restart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Финансирование мероприятий - всего и с выделением источников</w:t>
            </w:r>
          </w:p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финансирования (тыс. рублей)</w:t>
            </w:r>
          </w:p>
        </w:tc>
        <w:tc>
          <w:tcPr>
            <w:tcW w:w="2056" w:type="dxa"/>
            <w:vMerge w:val="restart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исполнение плановых мероприятий</w:t>
            </w:r>
            <w:r w:rsidR="00217BA8"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 xml:space="preserve"> (%)</w:t>
            </w:r>
          </w:p>
        </w:tc>
      </w:tr>
      <w:tr w:rsidR="001E00C7" w:rsidRPr="00C54740">
        <w:trPr>
          <w:trHeight w:val="488"/>
        </w:trPr>
        <w:tc>
          <w:tcPr>
            <w:tcW w:w="1437" w:type="dxa"/>
            <w:vMerge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vMerge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планируемое на текущий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C7" w:rsidRPr="00C5474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за отчетный период</w:t>
            </w:r>
          </w:p>
        </w:tc>
        <w:tc>
          <w:tcPr>
            <w:tcW w:w="2056" w:type="dxa"/>
            <w:vMerge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1. «Профессиональная подготовка, переподготовка и повышение квалификации муниципальных служащих и лиц, замещающих муниципальные должности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округе  (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программам, включающим в себя вопросы повышения эффективности бюджетных расходов)»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E00C7" w:rsidRPr="00C54740" w:rsidRDefault="009401F4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1E00C7" w:rsidRPr="00C54740" w:rsidRDefault="00FA1E2E" w:rsidP="005913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195,6</w:t>
            </w:r>
          </w:p>
        </w:tc>
        <w:tc>
          <w:tcPr>
            <w:tcW w:w="2056" w:type="dxa"/>
            <w:vAlign w:val="center"/>
          </w:tcPr>
          <w:p w:rsidR="001E00C7" w:rsidRPr="00C54740" w:rsidRDefault="00FA1E2E" w:rsidP="005913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191,8</w:t>
            </w:r>
          </w:p>
        </w:tc>
      </w:tr>
      <w:tr w:rsidR="00217BA8" w:rsidRPr="00C54740">
        <w:tc>
          <w:tcPr>
            <w:tcW w:w="143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217BA8" w:rsidRPr="00C54740" w:rsidRDefault="009401F4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217BA8" w:rsidRPr="00C54740" w:rsidRDefault="00FA1E2E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195,6</w:t>
            </w:r>
          </w:p>
        </w:tc>
        <w:tc>
          <w:tcPr>
            <w:tcW w:w="2056" w:type="dxa"/>
            <w:vAlign w:val="center"/>
          </w:tcPr>
          <w:p w:rsidR="00217BA8" w:rsidRPr="00C54740" w:rsidRDefault="00FA1E2E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191,8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9401F4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AB574A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133,6</w:t>
            </w:r>
          </w:p>
        </w:tc>
        <w:tc>
          <w:tcPr>
            <w:tcW w:w="2056" w:type="dxa"/>
          </w:tcPr>
          <w:p w:rsidR="001E00C7" w:rsidRPr="00C54740" w:rsidRDefault="00AB574A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130,8</w:t>
            </w:r>
          </w:p>
        </w:tc>
      </w:tr>
      <w:tr w:rsidR="00217BA8" w:rsidRPr="00C54740">
        <w:tc>
          <w:tcPr>
            <w:tcW w:w="143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7" w:type="dxa"/>
          </w:tcPr>
          <w:p w:rsidR="00217BA8" w:rsidRPr="00C5474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C54740" w:rsidRDefault="009401F4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C54740" w:rsidRDefault="00AB574A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133,6</w:t>
            </w:r>
          </w:p>
        </w:tc>
        <w:tc>
          <w:tcPr>
            <w:tcW w:w="2056" w:type="dxa"/>
          </w:tcPr>
          <w:p w:rsidR="00217BA8" w:rsidRPr="00C54740" w:rsidRDefault="00AB574A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130,8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Управление культуры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rPr>
          <w:trHeight w:val="350"/>
        </w:trPr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Управление образования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Комитет по управлению имуществом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9401F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9401F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9401F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C54740">
        <w:tc>
          <w:tcPr>
            <w:tcW w:w="143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87" w:type="dxa"/>
          </w:tcPr>
          <w:p w:rsidR="00217BA8" w:rsidRPr="00C5474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C54740" w:rsidRDefault="009401F4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C54740" w:rsidRDefault="009401F4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C54740" w:rsidRDefault="009401F4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Финансовое управление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9401F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217BA8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217BA8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474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17BA8" w:rsidRPr="00C54740">
        <w:tc>
          <w:tcPr>
            <w:tcW w:w="143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87" w:type="dxa"/>
          </w:tcPr>
          <w:p w:rsidR="00217BA8" w:rsidRPr="00C5474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C54740" w:rsidRDefault="009401F4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C54740" w:rsidRDefault="00217BA8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C54740" w:rsidRDefault="00217BA8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474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Дума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9401F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CD03DD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056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C54740">
        <w:tc>
          <w:tcPr>
            <w:tcW w:w="143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87" w:type="dxa"/>
          </w:tcPr>
          <w:p w:rsidR="00217BA8" w:rsidRPr="00C5474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C54740" w:rsidRDefault="009401F4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C54740" w:rsidRDefault="00CD03DD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056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16" w:type="dxa"/>
            <w:gridSpan w:val="4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Счетная палата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C54740">
        <w:tc>
          <w:tcPr>
            <w:tcW w:w="1437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87" w:type="dxa"/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C5474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C54740" w:rsidRDefault="00AA1F53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C5474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C54740">
        <w:tc>
          <w:tcPr>
            <w:tcW w:w="1437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87" w:type="dxa"/>
          </w:tcPr>
          <w:p w:rsidR="00217BA8" w:rsidRPr="00C5474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C5474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C5474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bookmarkEnd w:id="1"/>
    </w:tbl>
    <w:p w:rsidR="001E00C7" w:rsidRPr="00C5474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C54740" w:rsidRDefault="001E00C7" w:rsidP="0001306B">
      <w:pPr>
        <w:rPr>
          <w:rFonts w:ascii="Times New Roman" w:hAnsi="Times New Roman" w:cs="Times New Roman"/>
          <w:color w:val="242424"/>
          <w:sz w:val="28"/>
          <w:szCs w:val="28"/>
        </w:rPr>
        <w:sectPr w:rsidR="001E00C7" w:rsidRPr="00C54740" w:rsidSect="00CA33B5">
          <w:head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1E00C7" w:rsidRPr="00C54740" w:rsidRDefault="001E00C7" w:rsidP="0001306B">
      <w:pPr>
        <w:spacing w:after="136" w:line="215" w:lineRule="atLeast"/>
        <w:ind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C54740">
        <w:rPr>
          <w:rFonts w:ascii="Times New Roman" w:hAnsi="Times New Roman" w:cs="Times New Roman"/>
          <w:color w:val="242424"/>
          <w:sz w:val="28"/>
          <w:szCs w:val="28"/>
        </w:rPr>
        <w:lastRenderedPageBreak/>
        <w:t>Форма 4</w:t>
      </w:r>
    </w:p>
    <w:p w:rsidR="001E00C7" w:rsidRPr="00C54740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детализированного плана мероприятий </w:t>
      </w:r>
      <w:r w:rsidRPr="00C54740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за</w:t>
      </w:r>
      <w:r w:rsidR="005F0853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3117EB" w:rsidRPr="00C54740">
        <w:rPr>
          <w:rFonts w:ascii="Times New Roman" w:hAnsi="Times New Roman" w:cs="Times New Roman"/>
          <w:color w:val="333333"/>
          <w:kern w:val="36"/>
          <w:sz w:val="28"/>
          <w:szCs w:val="28"/>
          <w:lang w:val="en-US"/>
        </w:rPr>
        <w:t>I</w:t>
      </w:r>
      <w:r w:rsidR="003117EB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квартал 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3117EB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3117EB" w:rsidRPr="00C5474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946"/>
        <w:gridCol w:w="7017"/>
      </w:tblGrid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tabs>
                <w:tab w:val="left" w:pos="41"/>
                <w:tab w:val="left" w:pos="7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планового показателя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Информация об исполнении мероприятия и достижения непосредственных показателей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прогнозов социально-экономического развития Свердловской области на среднесрочную перспективу</w:t>
            </w:r>
          </w:p>
        </w:tc>
        <w:tc>
          <w:tcPr>
            <w:tcW w:w="7017" w:type="dxa"/>
          </w:tcPr>
          <w:p w:rsidR="001E00C7" w:rsidRPr="00C54740" w:rsidRDefault="00793FA8" w:rsidP="00B16054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B16054"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будет </w:t>
            </w: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и направлен в Министерство экономики Свердловской области </w:t>
            </w:r>
            <w:r w:rsidR="00B16054" w:rsidRPr="00C54740">
              <w:rPr>
                <w:rFonts w:ascii="Times New Roman" w:hAnsi="Times New Roman" w:cs="Times New Roman"/>
                <w:sz w:val="20"/>
                <w:szCs w:val="20"/>
              </w:rPr>
              <w:t>до 01 июля 2018 года.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погашение долговых обязательств не более 10 процентов годового объема налоговых, неналоговых доходов местного бюджета без учета безвозмездных поступлений</w:t>
            </w:r>
          </w:p>
        </w:tc>
        <w:tc>
          <w:tcPr>
            <w:tcW w:w="7017" w:type="dxa"/>
          </w:tcPr>
          <w:p w:rsidR="001E00C7" w:rsidRPr="00C54740" w:rsidRDefault="00547EAE" w:rsidP="00547EAE">
            <w:pPr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547E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квартале 2018 года</w:t>
            </w:r>
            <w:r w:rsidR="00ED354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погашение муниципального долга направлено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4 241,6</w:t>
            </w:r>
            <w:r w:rsidR="00ED354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из них основной долг составляет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3 489,3</w:t>
            </w:r>
            <w:r w:rsidR="00ED354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</w:t>
            </w:r>
            <w:r w:rsidR="001549D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проценты по кредиту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="001549D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752,3 тыс. руб., что составляет 4,6</w:t>
            </w:r>
            <w:bookmarkStart w:id="3" w:name="_GoBack"/>
            <w:bookmarkEnd w:id="3"/>
            <w:r w:rsidR="00ED354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 от налоговых и неналоговых доходов бюджета городского округа.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программы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внутренних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заимствований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3117EB">
            <w:pPr>
              <w:spacing w:after="0" w:line="240" w:lineRule="auto"/>
              <w:ind w:left="33" w:right="113" w:firstLine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муниципальных внутренних заимствований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</w:t>
            </w:r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нского</w:t>
            </w:r>
            <w:proofErr w:type="spellEnd"/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2018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утверждена реше</w:t>
            </w:r>
            <w:r w:rsidR="00AD72B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нием Думы городского округа от</w:t>
            </w:r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декабря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201</w:t>
            </w:r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года  № 36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 утверждении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</w:t>
            </w:r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и плановый период 201</w:t>
            </w:r>
            <w:r w:rsidR="003117E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9-2020 годов».</w:t>
            </w:r>
          </w:p>
        </w:tc>
      </w:tr>
      <w:tr w:rsidR="001E00C7" w:rsidRPr="00C54740">
        <w:trPr>
          <w:trHeight w:val="64"/>
        </w:trPr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задач, предусмотренных Указами Президента Российской Федерации от 07 мая 2012 года</w:t>
            </w:r>
          </w:p>
        </w:tc>
        <w:tc>
          <w:tcPr>
            <w:tcW w:w="7017" w:type="dxa"/>
          </w:tcPr>
          <w:p w:rsidR="001E00C7" w:rsidRPr="00C54740" w:rsidRDefault="004F41B9" w:rsidP="00867AD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предоставления и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нформация о выполнении задач, предусмотренных Указами Президента Российской Федерац</w:t>
            </w:r>
            <w:r w:rsidR="00E0305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ии от 07 мая 2012 года № 596-602,606 за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="005A31F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Управляющему Горнозаводским</w:t>
            </w:r>
            <w:r w:rsidR="0047199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округом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</w:t>
            </w:r>
            <w:r w:rsidR="0047199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</w:t>
            </w:r>
            <w:r w:rsidR="00867AD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мая</w:t>
            </w:r>
            <w:r w:rsidR="0047199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года.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оценки эффективности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3117EB">
            <w:pPr>
              <w:autoSpaceDE w:val="0"/>
              <w:autoSpaceDN w:val="0"/>
              <w:adjustRightInd w:val="0"/>
              <w:spacing w:after="0" w:line="240" w:lineRule="auto"/>
              <w:ind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3117EB" w:rsidRPr="00C54740">
              <w:rPr>
                <w:rFonts w:ascii="Times New Roman" w:hAnsi="Times New Roman" w:cs="Times New Roman"/>
                <w:sz w:val="20"/>
                <w:szCs w:val="20"/>
              </w:rPr>
              <w:t>проведена за 2017</w:t>
            </w: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год. Информация направлена в адрес главы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и размещена на официальном сайте городского округа http://v-salda.ru/ekonomika/munitsipalnye-programmy/otchet-ob-ispolnenii/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Поддержание в актуальном состоянии Порядка формирования и реализации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 и реализации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утвержден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№ 1154 от 06.04.2015 «Об утверждении Порядка формирования и реализации муниципальных программ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  <w:r w:rsidR="00E03058"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 на официальном сайте </w:t>
            </w:r>
            <w:proofErr w:type="spellStart"/>
            <w:r w:rsidR="00E03058"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E03058"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Включение в муниципальные программы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показателей муниципальных заданий</w:t>
            </w:r>
          </w:p>
        </w:tc>
        <w:tc>
          <w:tcPr>
            <w:tcW w:w="7017" w:type="dxa"/>
          </w:tcPr>
          <w:p w:rsidR="00E03058" w:rsidRPr="00C54740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 муниципальных заданий включены в три муниципальные программы:</w:t>
            </w:r>
            <w:r w:rsidRPr="00C54740">
              <w:rPr>
                <w:lang w:eastAsia="en-US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«Развитие системы образования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до 2021 года»; "Развитие культуры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до 2021 года";</w:t>
            </w:r>
            <w:r w:rsidRPr="00C54740">
              <w:rPr>
                <w:lang w:eastAsia="en-US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"Реализация и развитие муниципального управления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округе"</w:t>
            </w:r>
            <w:r w:rsidR="006412E3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Муниципальная программа «Восстановление и развитие объектов внешнего благоустройства </w:t>
            </w:r>
            <w:proofErr w:type="spellStart"/>
            <w:r w:rsidR="006412E3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6412E3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до 2021 года», подпрограмма «Обеспечение деятельности муниципального бюджетного учреждения «Служба городского хозяйства».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7017" w:type="dxa"/>
          </w:tcPr>
          <w:p w:rsidR="001E00C7" w:rsidRPr="00C54740" w:rsidRDefault="001E00C7" w:rsidP="009E4ABC">
            <w:pPr>
              <w:tabs>
                <w:tab w:val="left" w:pos="6807"/>
              </w:tabs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</w:t>
            </w:r>
            <w:r w:rsidR="009E4AB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руга на 2018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сформирован в программной структуре: объем расхо</w:t>
            </w:r>
            <w:r w:rsidR="00E0305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дов, сформированных в рамках 26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программ</w:t>
            </w:r>
            <w:r w:rsidR="009E4AB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утвержден в </w:t>
            </w:r>
            <w:proofErr w:type="gramStart"/>
            <w:r w:rsidR="009E4AB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сумме  1</w:t>
            </w:r>
            <w:proofErr w:type="gramEnd"/>
            <w:r w:rsidR="009E4AB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234 280,2</w:t>
            </w:r>
            <w:r w:rsidR="00E0305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что составляет 98,</w:t>
            </w:r>
            <w:r w:rsidR="009E4AB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общему объему расходов бюджета на 201</w:t>
            </w:r>
            <w:r w:rsidR="009E4AB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48394F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мониторинга и анализа системы контроля в сфере закупок товаров, работ, услуг для обеспечения муниципальных нужд</w:t>
            </w:r>
          </w:p>
        </w:tc>
        <w:tc>
          <w:tcPr>
            <w:tcW w:w="7017" w:type="dxa"/>
          </w:tcPr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22.07.2014 № 2375 «Об утверждении Административного регламента исполнения Финансовым управлением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проверок».   </w:t>
            </w:r>
          </w:p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С 01.01.2017 в связи с введением новой функции по контролю за исполнением 44 ФЗ ведется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 в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соответствии с  ч.5 ст.99 Федерального закона. Осуществлено 327 контрольных мероприятий. </w:t>
            </w:r>
          </w:p>
          <w:p w:rsidR="00BF085D" w:rsidRPr="00C54740" w:rsidRDefault="00BF085D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В соответствии с ч.3 п.3. ст.99 44 ФЗ проведены проверки в: </w:t>
            </w:r>
          </w:p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«ЦБ»;</w:t>
            </w:r>
          </w:p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</w:t>
            </w: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ДОУ «Детский сад № 28 «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64" w:rsidRPr="00C54740" w:rsidRDefault="00BA6764" w:rsidP="00BA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ч.8 ст.99 44 ФЗ проведена проверка в:</w:t>
            </w:r>
          </w:p>
          <w:p w:rsidR="00BA6764" w:rsidRPr="00C54740" w:rsidRDefault="00BA6764" w:rsidP="00BA6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«ЦБ»;</w:t>
            </w:r>
          </w:p>
          <w:p w:rsidR="00BA6764" w:rsidRPr="00C54740" w:rsidRDefault="00BA6764" w:rsidP="00BA6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- МКУ «Управление гражданской защиты ВСГО».</w:t>
            </w:r>
          </w:p>
          <w:p w:rsidR="001E00C7" w:rsidRPr="00C54740" w:rsidRDefault="00BA6764" w:rsidP="00BA67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Мониторинг и анализ системы контроля осуществляется ежемесячно, путем составления отчетов, направления актов проверок в прокуратуру.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в актуальном состоянии Порядка осуществления полномочий по контролю в финансово-бюджетной сфере</w:t>
            </w:r>
          </w:p>
        </w:tc>
        <w:tc>
          <w:tcPr>
            <w:tcW w:w="7017" w:type="dxa"/>
          </w:tcPr>
          <w:p w:rsidR="001E00C7" w:rsidRPr="00C54740" w:rsidRDefault="001E00C7" w:rsidP="007130A0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7130A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27.02.2014 № 828 «Об организации контроля в финансово-бюджетной сфере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округе»</w:t>
            </w:r>
            <w:r w:rsidR="007130A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от 08.10.2014 № </w:t>
            </w:r>
            <w:proofErr w:type="gramStart"/>
            <w:r w:rsidR="007130A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3096 ,</w:t>
            </w:r>
            <w:proofErr w:type="gramEnd"/>
            <w:r w:rsidR="007130A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01.09.2016 № 2841) утвержден «Порядок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осуществления Финансовым управлением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полномочий по контро</w:t>
            </w:r>
            <w:r w:rsidR="007130A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 в финансово-бюджетной сфере»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нормативного правового акта, регулирующего осуществление главными распорядителями бюджетных средств внутреннего финансового контроля и аудита</w:t>
            </w:r>
          </w:p>
        </w:tc>
        <w:tc>
          <w:tcPr>
            <w:tcW w:w="7017" w:type="dxa"/>
          </w:tcPr>
          <w:p w:rsidR="001E00C7" w:rsidRPr="00C54740" w:rsidRDefault="001E00C7" w:rsidP="00864349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864349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06.10.2014 № 3064 «Об утверждении Порядка осуществления внутреннего финансового контроля и внутреннего финансового аудита»</w:t>
            </w:r>
            <w:r w:rsidR="00864349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от 27.09.2016 № 3161) утвержден вышеуказанный Порядок.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715F9B" w:rsidRPr="00C54740" w:rsidRDefault="001E00C7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осуществляется в рамках мероприятий муниципальной программы "Повышение эффективности управления муниципальной собственностью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до 2021 года", утвержденной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22.08.2014 № 2674. </w:t>
            </w:r>
          </w:p>
          <w:p w:rsidR="001E00C7" w:rsidRPr="00C54740" w:rsidRDefault="00715F9B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Арбитражного суда Свердловской области от 08.12.2015 МУП «Комбинат школьного питания» признан несостоятельным (банкротом), открыто конкурсное пр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оизводство</w:t>
            </w:r>
            <w:r w:rsidR="008D24A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Определением Арбитражного суда Свердловской области от 19.03.2018г. конкурсное производство завершено, что </w:t>
            </w:r>
            <w:proofErr w:type="spellStart"/>
            <w:r w:rsidR="008D24A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являетя</w:t>
            </w:r>
            <w:proofErr w:type="spellEnd"/>
            <w:r w:rsidR="00D119CE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основанием для внесения в ЕГРЮЛ записи о ликвидации МУП «КШП». По состоянию на дату сос</w:t>
            </w:r>
            <w:r w:rsidR="00B824D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D119CE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авления настоящего отчета указанная запись в ЕГРЮЛ отсутствует.</w:t>
            </w:r>
          </w:p>
          <w:p w:rsidR="001E00C7" w:rsidRPr="00C54740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связи с </w:t>
            </w:r>
            <w:proofErr w:type="gramStart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убыточностью  принято</w:t>
            </w:r>
            <w:proofErr w:type="gramEnd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постановление администрации от 19.07.2016 № 2318 о ликвидации МУП «Ритуал»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0E612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Определением Арбитражного суда Свердловской области от 14.07.2017г. введена процедура банкротства – наблюдение.</w:t>
            </w:r>
          </w:p>
          <w:p w:rsidR="00715F9B" w:rsidRPr="00C54740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="00D119CE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Прекращение деятельности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МУП «Служба единого заказчика по ремонтно-строительным работам»</w:t>
            </w:r>
            <w:r w:rsidR="00D119CE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связи с исключением из ЕГРЮЛ 15.01.2018.</w:t>
            </w:r>
          </w:p>
          <w:p w:rsidR="00715F9B" w:rsidRPr="00C54740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Прекращение деятельности </w:t>
            </w:r>
            <w:r w:rsidR="00715F9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МУП «ЖКХ пос. Басьяновский»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связи с исключением</w:t>
            </w:r>
            <w:r w:rsidR="00715F9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 ЕГРЮЛ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06.03.2018</w:t>
            </w:r>
            <w:r w:rsidR="00715F9B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D119CE" w:rsidRPr="00C54740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Определением Арбитражного суда Свердловской области от 14.07.2017 МУП «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Пассажиравтотранс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признано несостоятельным, введена про</w:t>
            </w:r>
            <w:r w:rsidR="004751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цедура банкротства – наблюдение, с 10.02.2018г. процедура внешнего управления (дело № А60-17460/2017).</w:t>
            </w:r>
          </w:p>
          <w:p w:rsidR="00D119CE" w:rsidRPr="00C54740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Определением Арбитражного суда Свердловской области от 14.02.2018 МУП «гор. УЖКХ» </w:t>
            </w:r>
            <w:r w:rsidR="0043353E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признано несостоятельным, введена процедура банкротства – наблюдение.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за ведением финансово-хозяйственной деятельности муниципальных унитарных предприятий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512CAA" w:rsidRPr="00C54740" w:rsidRDefault="00512CAA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740"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Думы городского округа от 14 октября 2015 года № 387 «Об утверждении Положения о порядке перечисления муниципальными унитарными предприятиями в бюджет </w:t>
            </w:r>
            <w:proofErr w:type="spellStart"/>
            <w:r w:rsidRPr="00C54740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/>
                <w:sz w:val="20"/>
                <w:szCs w:val="20"/>
              </w:rPr>
              <w:t xml:space="preserve"> городского округа части прибыли, остающейся после уплаты налогов и иных обязательных платежей» муниципальные унитарные предприятия городского округа в десятидневный срок с даты сдачи годовой отчетности в налоговый орган, представляют в Комитет по имуществу расчет по исчислению суммы части прибыли, подлежащую перечислению в местный бюджет одновременно с годовой бухгалтерской отчетностью Уплата части прибыли, подлежащей перечислению в местный бюджет, производится предприятиями не позднее 15 июня года, следующего за отчетным.</w:t>
            </w:r>
          </w:p>
          <w:p w:rsidR="00C00145" w:rsidRPr="00C54740" w:rsidRDefault="00C00145" w:rsidP="009920C1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740">
              <w:rPr>
                <w:rFonts w:ascii="Times New Roman" w:hAnsi="Times New Roman"/>
                <w:sz w:val="20"/>
                <w:szCs w:val="20"/>
              </w:rPr>
              <w:t xml:space="preserve">Решением Думы городского округа от 31.08.2017 № 560 на Комитет по управлению имуществом администрации </w:t>
            </w:r>
            <w:proofErr w:type="spellStart"/>
            <w:r w:rsidRPr="00C54740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/>
                <w:sz w:val="20"/>
                <w:szCs w:val="20"/>
              </w:rPr>
              <w:t xml:space="preserve"> городского округа возложены полномочия по управлению муниципальными предприятиями (установление показателей работы, контроль их исполнения, оценка финансовой устойчивости и рентабельности работы). 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Получение  иных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межбюджетных трансфертов бюджету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стимулирование </w:t>
            </w:r>
          </w:p>
        </w:tc>
        <w:tc>
          <w:tcPr>
            <w:tcW w:w="7017" w:type="dxa"/>
          </w:tcPr>
          <w:p w:rsidR="001E00C7" w:rsidRPr="00C54740" w:rsidRDefault="001E00C7" w:rsidP="007E1CF6">
            <w:pPr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бюджету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</w:t>
            </w:r>
            <w:r w:rsidR="007E1C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на стимулирование в отчетном периоде 2018 года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предоставлялись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мероприятий ("дорожной карты") по повышению доходного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мероприятий ("дорожной карты") по повышению доходного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 разработан и утвержден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№ 1056 от 23 марта 2017 г. «Об утверждении Плана мероприятий («дорожной карты») по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повышению  доходного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2017 год и плановый период 2018-2019 годов» </w:t>
            </w:r>
            <w:r w:rsidR="004720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 редакции от 29.06.2017г. № 1940).</w:t>
            </w:r>
          </w:p>
          <w:p w:rsidR="0095292A" w:rsidRPr="00C54740" w:rsidRDefault="0095292A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выполнения мероприятий, предусмотренных Планом мероприятий ("дорожной картой") по повышению доходного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1E00C7" w:rsidRPr="00C54740" w:rsidRDefault="001E00C7" w:rsidP="004720F6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 о выполнении мероприятий, предусмотренных Планом мероприятий ("дорожной картой") по повышению доходного потенциала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2017 год и плановый период 2018-2019 годов составляется ежекв</w:t>
            </w:r>
            <w:r w:rsidR="0048394F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артально. За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C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отчетный период 2018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7E1C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информация в Министерство финансов Свердловской обл</w:t>
            </w:r>
            <w:r w:rsidR="0071670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асти направ</w:t>
            </w:r>
            <w:r w:rsidR="0048394F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лена письмом </w:t>
            </w:r>
            <w:r w:rsidR="007E1C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20.04</w:t>
            </w:r>
            <w:r w:rsidR="0048394F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</w:t>
            </w:r>
            <w:r w:rsidR="004720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="007E1CF6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224</w:t>
            </w:r>
            <w:r w:rsidR="00FB78C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C54740" w:rsidTr="00DA1A96">
        <w:trPr>
          <w:trHeight w:val="3931"/>
        </w:trPr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адресной работы с хозяйствующими субъектами путем заслушивания руководителей (собственников) на заседаниях межведомственной комиссии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 целях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 областной и местные бюджеты</w:t>
            </w:r>
          </w:p>
        </w:tc>
        <w:tc>
          <w:tcPr>
            <w:tcW w:w="7017" w:type="dxa"/>
          </w:tcPr>
          <w:p w:rsidR="00DA1A96" w:rsidRPr="00C54740" w:rsidRDefault="00DA1A96" w:rsidP="00DA1A9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       В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2018 года проведено 1 заседание Межведомственной комиссии по вопросам укрепления финансовой самостоятельности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что на 3 заседания меньше, чем за аналогичный период прошлого года, заседание проведено с участием налогового органа. 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работы межведомственной комиссии, Межрайонной ИФНС России № 16 по Свердловской области сформированы и направлены 16 уведомлений в адрес налогоплательщиков о вызове на межведомственную комиссию по вопросам финансовой самостоятельности бюджета.</w:t>
            </w:r>
          </w:p>
          <w:p w:rsidR="00DA1A96" w:rsidRPr="00C54740" w:rsidRDefault="00DA1A96" w:rsidP="00DA1A9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      Фактически рассмотрено 6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организаций, по которым приняты решения и установлены сроки погашения задолженности.  </w:t>
            </w:r>
          </w:p>
          <w:p w:rsidR="001E00C7" w:rsidRPr="00C54740" w:rsidRDefault="00DA1A96" w:rsidP="00DA1A96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Информация по налогоплательщикам, которые не явились на заседание комиссии, принято решение направить в межрайонную ИФНС России № 16 по Свердловской области, с целью привлечения к административной ответственности</w:t>
            </w:r>
            <w:r w:rsidRPr="00C5474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Взаимодействие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строится на основании бюджетного и налогового законодательства</w:t>
            </w:r>
          </w:p>
          <w:p w:rsidR="001B4134" w:rsidRPr="00C54740" w:rsidRDefault="001B4134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Внесение изменений в порядок рассмотрения обращений налогоплательщиков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городском  округе</w:t>
            </w:r>
            <w:proofErr w:type="gramEnd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Порядок рассмотрения обращений налогоплательщиков 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городском  округе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 разработан и утвержден решением Думы городского округа от 24.10.2012 № 72 «Об утверждении Порядка рассмотрения обращений налогоплательщиков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 возможности предоставления   налоговых льгот и оценке эффективности их предоставления». Изменения в Порядок не вносились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анализа использования и оценки эффективности предоставленных налоговых льгот и преференций, установленных законодательством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округа. Подготовка предложений по их оптимизации. </w:t>
            </w:r>
          </w:p>
        </w:tc>
        <w:tc>
          <w:tcPr>
            <w:tcW w:w="7017" w:type="dxa"/>
          </w:tcPr>
          <w:p w:rsidR="00162250" w:rsidRPr="00C54740" w:rsidRDefault="00ED52AF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соответствии с решением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Верхнесалдинской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районной Думы от 15.11.2005г. № 66 «Об установлении на территории МО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Верхнесалдинский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 земельного налога» (с изм. от 16.12.2015г. № 408</w:t>
            </w:r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r w:rsidR="001622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установлены льготы по налогам.</w:t>
            </w:r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622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ешением Думы </w:t>
            </w:r>
            <w:proofErr w:type="spellStart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622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19.11.2014 г. № </w:t>
            </w:r>
            <w:proofErr w:type="gramStart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  «</w:t>
            </w:r>
            <w:proofErr w:type="gramEnd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установлении на территории </w:t>
            </w:r>
            <w:proofErr w:type="spellStart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налога на имущество физических лиц» (в ред. решений Думы </w:t>
            </w:r>
            <w:proofErr w:type="spellStart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02C8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16.12.2015 № 407, от 23.03.2016 № 429)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622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предусмотрены льготы некоторым категориям граждан. </w:t>
            </w:r>
          </w:p>
          <w:p w:rsidR="00AD72BA" w:rsidRPr="00C54740" w:rsidRDefault="00DF4650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и оценка эффективности предоставленных налоговых льгот и преференций будет проводится в 3,4 квартале 2018 года.</w:t>
            </w:r>
          </w:p>
          <w:p w:rsidR="00AD72BA" w:rsidRPr="00C54740" w:rsidRDefault="00AD72BA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изменений в Порядок и Методику планирования бюджетных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ассигнований  бюджета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на очередной финансовый год и плановый период</w:t>
            </w:r>
          </w:p>
        </w:tc>
        <w:tc>
          <w:tcPr>
            <w:tcW w:w="7017" w:type="dxa"/>
          </w:tcPr>
          <w:p w:rsidR="0051182A" w:rsidRPr="00C54740" w:rsidRDefault="001E00C7" w:rsidP="0059135C">
            <w:pPr>
              <w:pStyle w:val="1"/>
              <w:ind w:left="0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Приказ Финансового управления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B151F6"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06.08.2017 № 82</w:t>
            </w: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приказ Финансового управления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от 07 июля 2011 года № 79 «Об утверждении </w:t>
            </w:r>
            <w:proofErr w:type="gramStart"/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 и</w:t>
            </w:r>
            <w:proofErr w:type="gramEnd"/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Методики планирования бюджетных ассигнований бюджета </w:t>
            </w:r>
            <w:proofErr w:type="spellStart"/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очередной финансовый год и плановый период»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профессионализма муниципальных заказчиков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округа: проведение методических семинаров, оказание информационно-методологической поддержки</w:t>
            </w:r>
          </w:p>
        </w:tc>
        <w:tc>
          <w:tcPr>
            <w:tcW w:w="7017" w:type="dxa"/>
          </w:tcPr>
          <w:p w:rsidR="001E00C7" w:rsidRPr="00C54740" w:rsidRDefault="001E00C7" w:rsidP="007A4E18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</w:t>
            </w:r>
            <w:r w:rsidR="007A4E1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2</w:t>
            </w:r>
            <w:r w:rsidR="00572164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методических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семинар</w:t>
            </w:r>
            <w:r w:rsidR="007A4E1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а, направлено</w:t>
            </w:r>
            <w:r w:rsidR="00572164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4E1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письмо</w:t>
            </w:r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обзорной информацией об</w:t>
            </w:r>
            <w:r w:rsidR="00971B5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изменениях в законодательстве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контрактной системе в сфере закупок товаров, работ, услуг для обеспечения муниципальных нужд. 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Оптимизация сети учреждений бюджетного сектора экономики путем реорганизации муниципальных учреждений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4E648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отчетном периоде 2018</w:t>
            </w:r>
            <w:r w:rsidR="00D2094F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оптимизация сети учреждений, подведомственных Администрации городского округа, </w:t>
            </w:r>
            <w:proofErr w:type="gramStart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Управлению  образования</w:t>
            </w:r>
            <w:proofErr w:type="gramEnd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Управлению культуры</w:t>
            </w:r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не планировалась и не проводилась. 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Внедрение "эффективного контракта" в муниципальных учреждениях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соответствии с </w:t>
            </w:r>
            <w:hyperlink r:id="rId8" w:history="1">
              <w:r w:rsidRPr="00C54740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Программой</w:t>
              </w:r>
            </w:hyperlink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</w:t>
            </w:r>
          </w:p>
        </w:tc>
        <w:tc>
          <w:tcPr>
            <w:tcW w:w="7017" w:type="dxa"/>
          </w:tcPr>
          <w:p w:rsidR="004E6487" w:rsidRPr="00C54740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«Эф</w:t>
            </w:r>
            <w:r w:rsidR="00B35024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фективные контракты» заключены </w:t>
            </w:r>
            <w:r w:rsidR="004E648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 всеми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руководителями образовательных муниципальных учреждений, подведомственных Управлению образования</w:t>
            </w:r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Во всех образовательных учреждениях заключены «эффективные контракты» с</w:t>
            </w:r>
            <w:r w:rsidR="00B35024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работниками. </w:t>
            </w:r>
          </w:p>
          <w:p w:rsidR="002164C4" w:rsidRPr="00C54740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муниципальных учреждениях, подведомственных Управлению культуры</w:t>
            </w:r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работа по внедрению </w:t>
            </w:r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«эффективного контракта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51182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полностью</w:t>
            </w:r>
            <w:r w:rsidR="002720A3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164C4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Установление доли оплаты труда работников административно-управленческого и вспомогательного персонала в фонде оплаты труда подведомственных учреждений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Приказом Управления образования «Об установлении предельной доли оплаты труда работников административно-управленческого персонала в фонде оплаты труда образовательных учреждений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 от 19.08.2014 установлена доля оплаты труда административно-управленческого персонала по всем образовательным учреждениям (ОУ, ДОУ, УДО) с учетом предельной доли этих расходов в фонде оплаты труда не более 40%.</w:t>
            </w:r>
          </w:p>
          <w:p w:rsidR="001E00C7" w:rsidRPr="00C54740" w:rsidRDefault="001E00C7" w:rsidP="00AD72BA">
            <w:pPr>
              <w:spacing w:after="0" w:line="215" w:lineRule="atLeast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Приказами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 Управлению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культуры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установлена численность и предельная доля оплаты труда административно-управленческого персонала с учетом предельной доли этих расходов в фонде оплаты труда по каждому учреждению культуры, учреждению дополнительного образования, подведомственных Управлению культуры</w:t>
            </w:r>
            <w:r w:rsidR="00AD72BA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 учетом предельной доли этих расходов в фонде оплаты труда не более 40%.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Порядка формирования и ведения ведомственных перечней муниципальных услуг (работ)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23.03.2015 № 1057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образования</w:t>
            </w:r>
            <w:r w:rsidR="00C236B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236B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Векрхнесалдинского</w:t>
            </w:r>
            <w:proofErr w:type="spellEnd"/>
            <w:r w:rsidR="00C236B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21.01.2016 № 16 «Об утверждении ведомственного перечня муниципальных услуг (работ), оказываемых (выполняемых) муниципальными учреждениями, подведомственными Управлению образования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сфере образования» (с изменениями от 28.09.2016 № 290, от 27.12.2016 № 386);</w:t>
            </w:r>
          </w:p>
          <w:p w:rsidR="00B27326" w:rsidRPr="00C54740" w:rsidRDefault="00E01DC2" w:rsidP="00C236B5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C236B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23.01.2017 № 25 «Об утверждении ведомственного перечня муниципальных услуг и работ, оказываемых и выполняемых муниципальными учреждениями, подве</w:t>
            </w:r>
            <w:r w:rsidR="00C236B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домственных Управлению культуры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новой редакции»</w:t>
            </w:r>
            <w:r w:rsidR="00C236B5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нормативов затрат на оказание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7017" w:type="dxa"/>
          </w:tcPr>
          <w:p w:rsidR="00723A71" w:rsidRPr="00C54740" w:rsidRDefault="001E00C7" w:rsidP="0059135C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городского округа от 26.06.2015 №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  «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утверждении методических рекомендаций по расчету нормативных затрат, связанных с оказанием муниципальными учреждениями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муниципальных услуг (выполнением работ), и нормативных затрат на содержание имущества муниципальных учреждений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округа». </w:t>
            </w:r>
          </w:p>
          <w:p w:rsidR="001E00C7" w:rsidRPr="00C54740" w:rsidRDefault="001E00C7" w:rsidP="0059135C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Управления образования от 26.11.2015 № 355/1 «Об утверждении нормативных затрат на оказание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(работ) в сфере образования, применяемых при расчете объема субсидии на финансовое обеспечение выполнение муниципального задания на оказание муниципальных услуг (выполнение работ) муниципальными учреждениями»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</w:t>
            </w:r>
            <w:r w:rsidR="00723A71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изменениями от 20.12.2017 № 440/1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 внесении изменений в приказ Управления образования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26.11.2015 № 355/1);</w:t>
            </w:r>
          </w:p>
          <w:p w:rsidR="001E00C7" w:rsidRPr="00C54740" w:rsidRDefault="00E01DC2" w:rsidP="001C1B12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1C1B12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C1B12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24.01.2017 № 26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 утверждении</w:t>
            </w:r>
            <w:proofErr w:type="gramEnd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нормативных затрат </w:t>
            </w:r>
            <w:r w:rsidR="001C1B12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оказание муниципальных  работ (услуг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оказываемых (выполняемых) учреждениями (организациями) подведомственными Управлению культуры </w:t>
            </w:r>
            <w:proofErr w:type="spellStart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  <w:r w:rsidR="001C1B12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Порядка разработки, утверждения и применения стандартов качества предоставления муниципальных услуг (работ), за исключением муниципальных услуг (работ) в соответствии с Федеральным </w:t>
            </w:r>
            <w:hyperlink r:id="rId9" w:history="1">
              <w:r w:rsidRPr="00C54740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</w:rPr>
              <w:t>Стандарт качества муниципальной услуги прописан в регламентах оказания муниципальных услуг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работы и формирование рейтингов учреждений в сфере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образования,  культуры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за исключением муниципальных  услуг (работ) в соответствии с Федеральным </w:t>
            </w:r>
            <w:hyperlink r:id="rId10" w:history="1">
              <w:r w:rsidRPr="00C54740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Управлении образования</w:t>
            </w:r>
            <w:r w:rsidRPr="00C54740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создан Муниципальный общественный совет по формированию независимой оценки работы образовательных организаций, подведомственных Управлению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(Приказ № 35/1 от 03.02.2015). Разработаны и утверждены Положение о муниципальном общественном совете (Приказ № 35/1 от 03.02.2015) и Порядок проведения оценки качества работы образовательных организаций, подведомственных Управлению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(Приказ № 35/1 от 03.02.2015).</w:t>
            </w:r>
          </w:p>
          <w:p w:rsidR="001E00C7" w:rsidRPr="00C54740" w:rsidRDefault="005E290C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Управлением культуры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роведение мониторинга качества предоставления муниципальных услуг производится ежеквартально</w:t>
            </w:r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Результаты мониторинга публикуются на сайте городского округа</w:t>
            </w:r>
          </w:p>
          <w:p w:rsidR="001E00C7" w:rsidRPr="00C5474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http://v-salda.ru/municipal-services/monitoring-of-quality-of-services/  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начисления платежей в бюджет, пеней и штрафов по ним и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7017" w:type="dxa"/>
          </w:tcPr>
          <w:p w:rsidR="000E6120" w:rsidRPr="00C54740" w:rsidRDefault="00DE2BFD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Думе,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Счетной палате, Управлению культуры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данные в ГИС ГМП не передавались в</w:t>
            </w:r>
            <w:r w:rsidR="000E612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связи с отсутствием начислений.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E2BFD" w:rsidRPr="00C54740" w:rsidRDefault="001E00C7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Администрацией городского округа, Финансовым</w:t>
            </w:r>
            <w:r w:rsidR="00DE2BF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управлением администрации</w:t>
            </w:r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proofErr w:type="spellEnd"/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0E612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00F3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Комитетом по управлению имуществом администрации </w:t>
            </w:r>
            <w:proofErr w:type="spellStart"/>
            <w:r w:rsidR="00900F3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900F38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и </w:t>
            </w:r>
            <w:r w:rsidR="000E612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Управлением образования</w:t>
            </w:r>
            <w:r w:rsidR="00DE2BF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DE2BF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DE2BF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="00DE2BF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округа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ГИС ГМП произведена 100%-я передача информации. 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независимой оценки соответствия качества фактически предоставленных услуг утвержденным требованиям к качеству</w:t>
            </w:r>
          </w:p>
        </w:tc>
        <w:tc>
          <w:tcPr>
            <w:tcW w:w="7017" w:type="dxa"/>
          </w:tcPr>
          <w:p w:rsidR="00636118" w:rsidRPr="00C54740" w:rsidRDefault="001E00C7" w:rsidP="00A23E5F">
            <w:pPr>
              <w:pStyle w:val="ac"/>
              <w:shd w:val="clear" w:color="auto" w:fill="FFFFFF"/>
              <w:spacing w:after="0" w:afterAutospacing="0"/>
              <w:ind w:left="113" w:right="113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C54740">
              <w:rPr>
                <w:color w:val="FF0000"/>
                <w:sz w:val="20"/>
                <w:szCs w:val="20"/>
                <w:lang w:eastAsia="en-US"/>
              </w:rPr>
              <w:t xml:space="preserve">      </w:t>
            </w:r>
            <w:r w:rsidR="0073456E" w:rsidRPr="00C5474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Для обеспечения информационной открытости и доступности информации о качестве деятельности образовательных организаций в отчетный период на официальных сайтах данных организаций была размещена информация о результатах деятельности. Проведено </w:t>
            </w:r>
            <w:r w:rsidR="0073456E" w:rsidRPr="00C5474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независимое анкетирование всех субъектов образовательного процесса на предмет удовлетворенности качеством оказываемых услуг в 80% организаций.</w:t>
            </w:r>
            <w:r w:rsidRPr="00C5474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740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По </w:t>
            </w:r>
            <w:r w:rsidR="0073456E" w:rsidRPr="00C54740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результатам анкетирования проведено собеседование с административными работниками организаций, выявлены проблемы, определены пути их решения. На заседании общественного совета по образованию разработан план мероприятий по повышению качества предоставляемых услуг и направлен на рассмотрение Учредителю.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мнения населения о качестве предоставляемых муниципальных услуг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мониторинг в форме анкетирования и социологического опроса.</w:t>
            </w:r>
          </w:p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Результаты анкетирования </w:t>
            </w:r>
            <w:r w:rsidR="00B8595C" w:rsidRPr="00C54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образовательных учреждений </w:t>
            </w:r>
            <w:r w:rsidRPr="00C54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размещены на сайте Управления образования и на сайтах образовательных организации в сети «Интернет»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673A11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с открытыми источниками информации о качестве работы учреждений в сфере образования, культуры (официальный сайт информационно-телекоммуникационной сети Интернет, средства массовой информации)</w:t>
            </w:r>
          </w:p>
        </w:tc>
        <w:tc>
          <w:tcPr>
            <w:tcW w:w="7017" w:type="dxa"/>
          </w:tcPr>
          <w:p w:rsidR="00700B37" w:rsidRPr="00C5474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всем учреждениям, подведомственным Управлению культуры</w:t>
            </w:r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созданы официальные сайты.</w:t>
            </w:r>
          </w:p>
          <w:p w:rsidR="00700B37" w:rsidRPr="00C5474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 нормативные документы были размещены на сайте Управления образования</w:t>
            </w:r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EA425D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разделе «НСОКО» и официальном сайте города в разделе «Независимая оценка качества работы организаций, оказывающих социальные услуги».</w:t>
            </w:r>
            <w:r w:rsidR="00700B3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Вводится система мониторинга и оценки качества (АИС) на сайтах образовательных учреждений. На данный момент информация размещена на сайтах ОУ № 2, ОУ № 3, ОУ № 6, ОУ №9, ОУ №17.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мониторинга удовлетворенности граждан качеством предоставления муниципальных услуг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ind w:right="30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ежеквартально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финансового менеджмента в соответствии с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19 июля 2012 года № 1455 «О порядке осуществления мониторинга и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 качества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финансами главных распорядителей бюджетных средств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  <w:tc>
          <w:tcPr>
            <w:tcW w:w="7017" w:type="dxa"/>
          </w:tcPr>
          <w:p w:rsidR="001E00C7" w:rsidRPr="00C54740" w:rsidRDefault="001E00C7" w:rsidP="00E91A7C">
            <w:pPr>
              <w:tabs>
                <w:tab w:val="left" w:pos="6807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 мониторинг качества финансового менеджмента главных распорядителей бюджетных средств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соответствии с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</w:t>
            </w:r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 от 19 июля 2012 года № 1455 за 2017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год. Результаты мониторинга направлены Финансовым управлением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</w:t>
            </w:r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несалдинского</w:t>
            </w:r>
            <w:proofErr w:type="spellEnd"/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</w:t>
            </w:r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аве администрации </w:t>
            </w:r>
            <w:proofErr w:type="gramStart"/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письмом  №</w:t>
            </w:r>
            <w:proofErr w:type="gramEnd"/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144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27.03.2018г.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опубликованы на официальном сайте городского округа </w:t>
            </w:r>
            <w:r w:rsidR="00E91A7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http://v-salda.ru/ekonomika/byudzhet/normativnye-dokumenty/?ELEMENT_ID=5099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Порядка проведения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- исполнительными органами местного самоуправления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Порядок организации проведения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- исполнительными органами местного самоуправления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внесены изменения постановлением администрации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от 13.04.2016 № 1307 «О внесении изменений в порядок организации проведения мониторинга и оценки качества управления финансами главных распорядителей бюджетных средств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</w:tr>
      <w:tr w:rsidR="001E00C7" w:rsidRPr="00C54740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C5474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проводится за счет средств областного бюджета в соответствии с указаниями Департамента кадровой политики Губернатора Свердловской области и за счет средств местного бюджета.  </w:t>
            </w:r>
          </w:p>
          <w:p w:rsidR="001E00C7" w:rsidRPr="00C54740" w:rsidRDefault="001E00C7" w:rsidP="003F5B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За отчетный период 201</w:t>
            </w:r>
            <w:r w:rsidR="003F5B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прошли обучение по программам профессиональной подготовки, переподго</w:t>
            </w:r>
            <w:r w:rsidR="00A06AE2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5E290C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овки и повышения квалифик</w:t>
            </w:r>
            <w:r w:rsidR="003F5B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ации 13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служащих, что составляет </w:t>
            </w:r>
            <w:r w:rsidR="003F5B5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14,6 </w:t>
            </w: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% от общего количества муниципальных служащих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59135C">
        <w:tc>
          <w:tcPr>
            <w:tcW w:w="992" w:type="dxa"/>
          </w:tcPr>
          <w:p w:rsidR="001E00C7" w:rsidRPr="00C5474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946" w:type="dxa"/>
          </w:tcPr>
          <w:p w:rsidR="001E00C7" w:rsidRPr="00C5474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и опубликование «бюджета для граждан» на основе решения представительного органа </w:t>
            </w:r>
            <w:proofErr w:type="spell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proofErr w:type="gramStart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 бюджете</w:t>
            </w:r>
            <w:proofErr w:type="gramEnd"/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очередной финансовый год и плановый период и  об исполнении местного бюджета за отчетный период</w:t>
            </w:r>
          </w:p>
        </w:tc>
        <w:tc>
          <w:tcPr>
            <w:tcW w:w="7017" w:type="dxa"/>
          </w:tcPr>
          <w:p w:rsidR="001E00C7" w:rsidRPr="0059135C" w:rsidRDefault="004C3215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«Бюджет для граждан» на 2018 и плановый период 2019-2020 годы, исполнение бюджета за 2017</w:t>
            </w:r>
            <w:r w:rsidR="00D5393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53930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 </w:t>
            </w:r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размещены</w:t>
            </w:r>
            <w:proofErr w:type="gramEnd"/>
            <w:r w:rsidR="001E00C7" w:rsidRPr="00C54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на официальном сайте городского округа http://v-salda.ru/ekonomika/byudzhet/byudzhet-dlya-grazhdan/</w:t>
            </w:r>
          </w:p>
        </w:tc>
      </w:tr>
    </w:tbl>
    <w:p w:rsidR="001E00C7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00C7" w:rsidRDefault="001E00C7"/>
    <w:p w:rsidR="001E00C7" w:rsidRDefault="001E00C7"/>
    <w:sectPr w:rsidR="001E00C7" w:rsidSect="00013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32" w:rsidRDefault="007A7132" w:rsidP="00546159">
      <w:pPr>
        <w:spacing w:after="0" w:line="240" w:lineRule="auto"/>
      </w:pPr>
      <w:r>
        <w:separator/>
      </w:r>
    </w:p>
  </w:endnote>
  <w:endnote w:type="continuationSeparator" w:id="0">
    <w:p w:rsidR="007A7132" w:rsidRDefault="007A7132" w:rsidP="005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32" w:rsidRDefault="007A7132" w:rsidP="00546159">
      <w:pPr>
        <w:spacing w:after="0" w:line="240" w:lineRule="auto"/>
      </w:pPr>
      <w:r>
        <w:separator/>
      </w:r>
    </w:p>
  </w:footnote>
  <w:footnote w:type="continuationSeparator" w:id="0">
    <w:p w:rsidR="007A7132" w:rsidRDefault="007A7132" w:rsidP="005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D0" w:rsidRDefault="0086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EAE">
      <w:rPr>
        <w:noProof/>
      </w:rPr>
      <w:t>11</w:t>
    </w:r>
    <w:r>
      <w:rPr>
        <w:noProof/>
      </w:rPr>
      <w:fldChar w:fldCharType="end"/>
    </w:r>
  </w:p>
  <w:p w:rsidR="00867AD0" w:rsidRDefault="00867A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6B"/>
    <w:rsid w:val="00004350"/>
    <w:rsid w:val="00010895"/>
    <w:rsid w:val="0001306B"/>
    <w:rsid w:val="0001356D"/>
    <w:rsid w:val="000135E3"/>
    <w:rsid w:val="00017AEC"/>
    <w:rsid w:val="00034857"/>
    <w:rsid w:val="00035CE5"/>
    <w:rsid w:val="00041018"/>
    <w:rsid w:val="00050D7A"/>
    <w:rsid w:val="000534DA"/>
    <w:rsid w:val="000542AD"/>
    <w:rsid w:val="00070751"/>
    <w:rsid w:val="0007491E"/>
    <w:rsid w:val="00091D6D"/>
    <w:rsid w:val="00095DF6"/>
    <w:rsid w:val="00096037"/>
    <w:rsid w:val="00096E6B"/>
    <w:rsid w:val="000A2CD7"/>
    <w:rsid w:val="000A351D"/>
    <w:rsid w:val="000A6B81"/>
    <w:rsid w:val="000B002A"/>
    <w:rsid w:val="000B6E9D"/>
    <w:rsid w:val="000E299C"/>
    <w:rsid w:val="000E6120"/>
    <w:rsid w:val="000F182F"/>
    <w:rsid w:val="000F31FD"/>
    <w:rsid w:val="000F5A94"/>
    <w:rsid w:val="00102C88"/>
    <w:rsid w:val="00106B7C"/>
    <w:rsid w:val="00112B6C"/>
    <w:rsid w:val="00127D1F"/>
    <w:rsid w:val="00131E83"/>
    <w:rsid w:val="0013201D"/>
    <w:rsid w:val="0013338F"/>
    <w:rsid w:val="00136737"/>
    <w:rsid w:val="00141E97"/>
    <w:rsid w:val="00144E88"/>
    <w:rsid w:val="00150297"/>
    <w:rsid w:val="001540C2"/>
    <w:rsid w:val="001549D5"/>
    <w:rsid w:val="001556F6"/>
    <w:rsid w:val="00157478"/>
    <w:rsid w:val="00162250"/>
    <w:rsid w:val="0017595A"/>
    <w:rsid w:val="00184DC2"/>
    <w:rsid w:val="001A148C"/>
    <w:rsid w:val="001B4134"/>
    <w:rsid w:val="001B5CF7"/>
    <w:rsid w:val="001B79F2"/>
    <w:rsid w:val="001C1B12"/>
    <w:rsid w:val="001C4518"/>
    <w:rsid w:val="001D1966"/>
    <w:rsid w:val="001E0031"/>
    <w:rsid w:val="001E00C7"/>
    <w:rsid w:val="001E1575"/>
    <w:rsid w:val="001E4038"/>
    <w:rsid w:val="001E4233"/>
    <w:rsid w:val="001E7598"/>
    <w:rsid w:val="0020518D"/>
    <w:rsid w:val="0021131A"/>
    <w:rsid w:val="002164C4"/>
    <w:rsid w:val="00217BA8"/>
    <w:rsid w:val="00223190"/>
    <w:rsid w:val="002327D8"/>
    <w:rsid w:val="00235862"/>
    <w:rsid w:val="00236E65"/>
    <w:rsid w:val="00240122"/>
    <w:rsid w:val="00242ADE"/>
    <w:rsid w:val="002511BE"/>
    <w:rsid w:val="00253F1D"/>
    <w:rsid w:val="00261B7F"/>
    <w:rsid w:val="002720A3"/>
    <w:rsid w:val="002751A1"/>
    <w:rsid w:val="002754C8"/>
    <w:rsid w:val="002809EE"/>
    <w:rsid w:val="00286CB6"/>
    <w:rsid w:val="00291DE7"/>
    <w:rsid w:val="002C1700"/>
    <w:rsid w:val="002E7BAA"/>
    <w:rsid w:val="002F660A"/>
    <w:rsid w:val="002F7E7F"/>
    <w:rsid w:val="003003BD"/>
    <w:rsid w:val="00302DCD"/>
    <w:rsid w:val="003117EB"/>
    <w:rsid w:val="0031207E"/>
    <w:rsid w:val="00337CFF"/>
    <w:rsid w:val="00340AF5"/>
    <w:rsid w:val="00343B7C"/>
    <w:rsid w:val="00347760"/>
    <w:rsid w:val="00352806"/>
    <w:rsid w:val="00362599"/>
    <w:rsid w:val="003646DF"/>
    <w:rsid w:val="00365EC8"/>
    <w:rsid w:val="00366DA8"/>
    <w:rsid w:val="0037381A"/>
    <w:rsid w:val="00374A38"/>
    <w:rsid w:val="00382B37"/>
    <w:rsid w:val="00382E05"/>
    <w:rsid w:val="00383C80"/>
    <w:rsid w:val="00385AAA"/>
    <w:rsid w:val="003873A5"/>
    <w:rsid w:val="003B2628"/>
    <w:rsid w:val="003B51A4"/>
    <w:rsid w:val="003C7DE6"/>
    <w:rsid w:val="003D30E1"/>
    <w:rsid w:val="003E207B"/>
    <w:rsid w:val="003F46B7"/>
    <w:rsid w:val="003F5B50"/>
    <w:rsid w:val="003F6F34"/>
    <w:rsid w:val="004008BC"/>
    <w:rsid w:val="00401487"/>
    <w:rsid w:val="004026D3"/>
    <w:rsid w:val="00402B27"/>
    <w:rsid w:val="004118A9"/>
    <w:rsid w:val="0043353E"/>
    <w:rsid w:val="00441DC3"/>
    <w:rsid w:val="00445903"/>
    <w:rsid w:val="00452BBF"/>
    <w:rsid w:val="00453369"/>
    <w:rsid w:val="0045374A"/>
    <w:rsid w:val="004537E8"/>
    <w:rsid w:val="0047199C"/>
    <w:rsid w:val="004720F6"/>
    <w:rsid w:val="00474A1D"/>
    <w:rsid w:val="00475139"/>
    <w:rsid w:val="00475586"/>
    <w:rsid w:val="00481065"/>
    <w:rsid w:val="0048394F"/>
    <w:rsid w:val="004978E9"/>
    <w:rsid w:val="004A28F8"/>
    <w:rsid w:val="004A2A4C"/>
    <w:rsid w:val="004A3DEF"/>
    <w:rsid w:val="004A7623"/>
    <w:rsid w:val="004A7B60"/>
    <w:rsid w:val="004C005A"/>
    <w:rsid w:val="004C3215"/>
    <w:rsid w:val="004D140C"/>
    <w:rsid w:val="004E6487"/>
    <w:rsid w:val="004E6B0F"/>
    <w:rsid w:val="004E7495"/>
    <w:rsid w:val="004F0CC2"/>
    <w:rsid w:val="004F41B9"/>
    <w:rsid w:val="004F469D"/>
    <w:rsid w:val="00504A24"/>
    <w:rsid w:val="0051182A"/>
    <w:rsid w:val="00511C5D"/>
    <w:rsid w:val="00512CAA"/>
    <w:rsid w:val="00514A61"/>
    <w:rsid w:val="00521453"/>
    <w:rsid w:val="00521AA6"/>
    <w:rsid w:val="00522615"/>
    <w:rsid w:val="0053676E"/>
    <w:rsid w:val="00542990"/>
    <w:rsid w:val="005432A8"/>
    <w:rsid w:val="00543A48"/>
    <w:rsid w:val="00545922"/>
    <w:rsid w:val="00546159"/>
    <w:rsid w:val="00547EAE"/>
    <w:rsid w:val="00550D23"/>
    <w:rsid w:val="00561A1B"/>
    <w:rsid w:val="005626B1"/>
    <w:rsid w:val="00564ABC"/>
    <w:rsid w:val="00572164"/>
    <w:rsid w:val="00582DFB"/>
    <w:rsid w:val="0059026A"/>
    <w:rsid w:val="0059135C"/>
    <w:rsid w:val="005A19A2"/>
    <w:rsid w:val="005A31FA"/>
    <w:rsid w:val="005A41C6"/>
    <w:rsid w:val="005C157B"/>
    <w:rsid w:val="005C4671"/>
    <w:rsid w:val="005C7C1C"/>
    <w:rsid w:val="005D0354"/>
    <w:rsid w:val="005D33B9"/>
    <w:rsid w:val="005D7C88"/>
    <w:rsid w:val="005E290C"/>
    <w:rsid w:val="005F0853"/>
    <w:rsid w:val="005F6724"/>
    <w:rsid w:val="006027B0"/>
    <w:rsid w:val="00612B67"/>
    <w:rsid w:val="006202E9"/>
    <w:rsid w:val="00622661"/>
    <w:rsid w:val="0062515D"/>
    <w:rsid w:val="00636118"/>
    <w:rsid w:val="006412E3"/>
    <w:rsid w:val="00645373"/>
    <w:rsid w:val="00653B96"/>
    <w:rsid w:val="00660E36"/>
    <w:rsid w:val="00661BED"/>
    <w:rsid w:val="00673A11"/>
    <w:rsid w:val="00676F34"/>
    <w:rsid w:val="006949E0"/>
    <w:rsid w:val="00697688"/>
    <w:rsid w:val="006B37DF"/>
    <w:rsid w:val="006C4627"/>
    <w:rsid w:val="006C5DA7"/>
    <w:rsid w:val="006C714C"/>
    <w:rsid w:val="006C7973"/>
    <w:rsid w:val="006D4CC8"/>
    <w:rsid w:val="006E0E91"/>
    <w:rsid w:val="006E4735"/>
    <w:rsid w:val="006F1216"/>
    <w:rsid w:val="006F3481"/>
    <w:rsid w:val="006F58B0"/>
    <w:rsid w:val="00700B37"/>
    <w:rsid w:val="0071273C"/>
    <w:rsid w:val="007130A0"/>
    <w:rsid w:val="00715F9B"/>
    <w:rsid w:val="00716707"/>
    <w:rsid w:val="00717D08"/>
    <w:rsid w:val="00723A71"/>
    <w:rsid w:val="00724AA7"/>
    <w:rsid w:val="0073456E"/>
    <w:rsid w:val="00737694"/>
    <w:rsid w:val="007435AE"/>
    <w:rsid w:val="007470FC"/>
    <w:rsid w:val="00751C0D"/>
    <w:rsid w:val="007673B0"/>
    <w:rsid w:val="00770913"/>
    <w:rsid w:val="00780B82"/>
    <w:rsid w:val="007817B5"/>
    <w:rsid w:val="007820DD"/>
    <w:rsid w:val="00787B0D"/>
    <w:rsid w:val="00792DF3"/>
    <w:rsid w:val="00793FA8"/>
    <w:rsid w:val="007946CF"/>
    <w:rsid w:val="007A2B06"/>
    <w:rsid w:val="007A4E18"/>
    <w:rsid w:val="007A7132"/>
    <w:rsid w:val="007C61A9"/>
    <w:rsid w:val="007D4D49"/>
    <w:rsid w:val="007D523D"/>
    <w:rsid w:val="007D63C3"/>
    <w:rsid w:val="007E1CF6"/>
    <w:rsid w:val="00803054"/>
    <w:rsid w:val="008161CC"/>
    <w:rsid w:val="00817E98"/>
    <w:rsid w:val="00824FF6"/>
    <w:rsid w:val="0083264E"/>
    <w:rsid w:val="00835BDA"/>
    <w:rsid w:val="0083779C"/>
    <w:rsid w:val="00845F57"/>
    <w:rsid w:val="00864349"/>
    <w:rsid w:val="008667E9"/>
    <w:rsid w:val="00867AD0"/>
    <w:rsid w:val="00880756"/>
    <w:rsid w:val="0088319F"/>
    <w:rsid w:val="00892AE7"/>
    <w:rsid w:val="00894969"/>
    <w:rsid w:val="008A0CFB"/>
    <w:rsid w:val="008A3B70"/>
    <w:rsid w:val="008A6D92"/>
    <w:rsid w:val="008B02EB"/>
    <w:rsid w:val="008B09F0"/>
    <w:rsid w:val="008B4269"/>
    <w:rsid w:val="008C3D13"/>
    <w:rsid w:val="008D03C4"/>
    <w:rsid w:val="008D24A6"/>
    <w:rsid w:val="008D6C9F"/>
    <w:rsid w:val="008E16B5"/>
    <w:rsid w:val="008F083E"/>
    <w:rsid w:val="00900F38"/>
    <w:rsid w:val="00913634"/>
    <w:rsid w:val="0092280E"/>
    <w:rsid w:val="00924694"/>
    <w:rsid w:val="00927D25"/>
    <w:rsid w:val="009369D9"/>
    <w:rsid w:val="009401F4"/>
    <w:rsid w:val="009427E2"/>
    <w:rsid w:val="00943677"/>
    <w:rsid w:val="0094660F"/>
    <w:rsid w:val="00950586"/>
    <w:rsid w:val="00951B87"/>
    <w:rsid w:val="0095292A"/>
    <w:rsid w:val="00960AFF"/>
    <w:rsid w:val="00971B5A"/>
    <w:rsid w:val="00976D3A"/>
    <w:rsid w:val="0098442F"/>
    <w:rsid w:val="009920C1"/>
    <w:rsid w:val="00996B85"/>
    <w:rsid w:val="00996D32"/>
    <w:rsid w:val="009B355B"/>
    <w:rsid w:val="009B3B0B"/>
    <w:rsid w:val="009E2EEF"/>
    <w:rsid w:val="009E3EFC"/>
    <w:rsid w:val="009E4ABC"/>
    <w:rsid w:val="009E7FBF"/>
    <w:rsid w:val="009F6611"/>
    <w:rsid w:val="00A027AF"/>
    <w:rsid w:val="00A04855"/>
    <w:rsid w:val="00A06AE2"/>
    <w:rsid w:val="00A17983"/>
    <w:rsid w:val="00A201E7"/>
    <w:rsid w:val="00A23A9A"/>
    <w:rsid w:val="00A23E5F"/>
    <w:rsid w:val="00A24B85"/>
    <w:rsid w:val="00A31A6A"/>
    <w:rsid w:val="00A3796D"/>
    <w:rsid w:val="00A43EBA"/>
    <w:rsid w:val="00A53E57"/>
    <w:rsid w:val="00A5705E"/>
    <w:rsid w:val="00AA0E49"/>
    <w:rsid w:val="00AA1195"/>
    <w:rsid w:val="00AA1F53"/>
    <w:rsid w:val="00AA6398"/>
    <w:rsid w:val="00AA7CF6"/>
    <w:rsid w:val="00AB574A"/>
    <w:rsid w:val="00AB7B2A"/>
    <w:rsid w:val="00AC0A3B"/>
    <w:rsid w:val="00AD0278"/>
    <w:rsid w:val="00AD72A8"/>
    <w:rsid w:val="00AD72BA"/>
    <w:rsid w:val="00AE6EF9"/>
    <w:rsid w:val="00AF5131"/>
    <w:rsid w:val="00B0522A"/>
    <w:rsid w:val="00B05D56"/>
    <w:rsid w:val="00B151F6"/>
    <w:rsid w:val="00B16054"/>
    <w:rsid w:val="00B27326"/>
    <w:rsid w:val="00B31E5F"/>
    <w:rsid w:val="00B35024"/>
    <w:rsid w:val="00B46DC8"/>
    <w:rsid w:val="00B53DAA"/>
    <w:rsid w:val="00B555C3"/>
    <w:rsid w:val="00B62885"/>
    <w:rsid w:val="00B64CC4"/>
    <w:rsid w:val="00B7182F"/>
    <w:rsid w:val="00B7186E"/>
    <w:rsid w:val="00B7208C"/>
    <w:rsid w:val="00B72A0E"/>
    <w:rsid w:val="00B77A6F"/>
    <w:rsid w:val="00B824D6"/>
    <w:rsid w:val="00B8595C"/>
    <w:rsid w:val="00B859B9"/>
    <w:rsid w:val="00B86F15"/>
    <w:rsid w:val="00B922C4"/>
    <w:rsid w:val="00B925E0"/>
    <w:rsid w:val="00BA013F"/>
    <w:rsid w:val="00BA6764"/>
    <w:rsid w:val="00BB0DCE"/>
    <w:rsid w:val="00BB3731"/>
    <w:rsid w:val="00BB7993"/>
    <w:rsid w:val="00BC017A"/>
    <w:rsid w:val="00BC35FC"/>
    <w:rsid w:val="00BC5231"/>
    <w:rsid w:val="00BD5C56"/>
    <w:rsid w:val="00BD7EC0"/>
    <w:rsid w:val="00BE2116"/>
    <w:rsid w:val="00BF085D"/>
    <w:rsid w:val="00BF295D"/>
    <w:rsid w:val="00BF36C7"/>
    <w:rsid w:val="00C00145"/>
    <w:rsid w:val="00C167EB"/>
    <w:rsid w:val="00C17BFD"/>
    <w:rsid w:val="00C226C7"/>
    <w:rsid w:val="00C236B5"/>
    <w:rsid w:val="00C32540"/>
    <w:rsid w:val="00C33455"/>
    <w:rsid w:val="00C35259"/>
    <w:rsid w:val="00C427B0"/>
    <w:rsid w:val="00C4406F"/>
    <w:rsid w:val="00C54740"/>
    <w:rsid w:val="00C61C01"/>
    <w:rsid w:val="00C63E22"/>
    <w:rsid w:val="00C6557A"/>
    <w:rsid w:val="00C6557E"/>
    <w:rsid w:val="00C74F0C"/>
    <w:rsid w:val="00C8121A"/>
    <w:rsid w:val="00C979F0"/>
    <w:rsid w:val="00CA335E"/>
    <w:rsid w:val="00CA33B5"/>
    <w:rsid w:val="00CB3461"/>
    <w:rsid w:val="00CB5E82"/>
    <w:rsid w:val="00CC1B85"/>
    <w:rsid w:val="00CD03DD"/>
    <w:rsid w:val="00CD15E5"/>
    <w:rsid w:val="00CD6E59"/>
    <w:rsid w:val="00CE1387"/>
    <w:rsid w:val="00D014BA"/>
    <w:rsid w:val="00D058D3"/>
    <w:rsid w:val="00D06D02"/>
    <w:rsid w:val="00D110B4"/>
    <w:rsid w:val="00D119CE"/>
    <w:rsid w:val="00D15E04"/>
    <w:rsid w:val="00D17C08"/>
    <w:rsid w:val="00D2094F"/>
    <w:rsid w:val="00D21CA9"/>
    <w:rsid w:val="00D2458B"/>
    <w:rsid w:val="00D275FF"/>
    <w:rsid w:val="00D40C4B"/>
    <w:rsid w:val="00D53930"/>
    <w:rsid w:val="00D62B63"/>
    <w:rsid w:val="00D6545E"/>
    <w:rsid w:val="00D676DD"/>
    <w:rsid w:val="00D81399"/>
    <w:rsid w:val="00D85FBB"/>
    <w:rsid w:val="00D87E91"/>
    <w:rsid w:val="00D96605"/>
    <w:rsid w:val="00DA1A96"/>
    <w:rsid w:val="00DC5A5A"/>
    <w:rsid w:val="00DD240B"/>
    <w:rsid w:val="00DD6D13"/>
    <w:rsid w:val="00DE2BFD"/>
    <w:rsid w:val="00DE4F52"/>
    <w:rsid w:val="00DE548B"/>
    <w:rsid w:val="00DE5738"/>
    <w:rsid w:val="00DE7DA5"/>
    <w:rsid w:val="00DF00D7"/>
    <w:rsid w:val="00DF4650"/>
    <w:rsid w:val="00E01DC2"/>
    <w:rsid w:val="00E02458"/>
    <w:rsid w:val="00E03058"/>
    <w:rsid w:val="00E17457"/>
    <w:rsid w:val="00E3708C"/>
    <w:rsid w:val="00E456D2"/>
    <w:rsid w:val="00E52DE7"/>
    <w:rsid w:val="00E541EF"/>
    <w:rsid w:val="00E5736A"/>
    <w:rsid w:val="00E619C2"/>
    <w:rsid w:val="00E6363E"/>
    <w:rsid w:val="00E6411D"/>
    <w:rsid w:val="00E77F11"/>
    <w:rsid w:val="00E857F1"/>
    <w:rsid w:val="00E91A7C"/>
    <w:rsid w:val="00E94FAA"/>
    <w:rsid w:val="00EA425D"/>
    <w:rsid w:val="00EA7E12"/>
    <w:rsid w:val="00EC0C0D"/>
    <w:rsid w:val="00ED1FEF"/>
    <w:rsid w:val="00ED354B"/>
    <w:rsid w:val="00ED49D2"/>
    <w:rsid w:val="00ED52AF"/>
    <w:rsid w:val="00EE22EF"/>
    <w:rsid w:val="00EF0FF6"/>
    <w:rsid w:val="00EF2394"/>
    <w:rsid w:val="00EF633D"/>
    <w:rsid w:val="00EF6388"/>
    <w:rsid w:val="00EF7A36"/>
    <w:rsid w:val="00F065B3"/>
    <w:rsid w:val="00F10B15"/>
    <w:rsid w:val="00F17650"/>
    <w:rsid w:val="00F20125"/>
    <w:rsid w:val="00F26CD7"/>
    <w:rsid w:val="00F32E33"/>
    <w:rsid w:val="00F3413E"/>
    <w:rsid w:val="00F35EDA"/>
    <w:rsid w:val="00F44796"/>
    <w:rsid w:val="00F60DFF"/>
    <w:rsid w:val="00F628FE"/>
    <w:rsid w:val="00F629DD"/>
    <w:rsid w:val="00F67759"/>
    <w:rsid w:val="00F73171"/>
    <w:rsid w:val="00F831DB"/>
    <w:rsid w:val="00F854E5"/>
    <w:rsid w:val="00FA1E2E"/>
    <w:rsid w:val="00FA6CE4"/>
    <w:rsid w:val="00FB2AF9"/>
    <w:rsid w:val="00FB78CA"/>
    <w:rsid w:val="00FC2CFA"/>
    <w:rsid w:val="00FC5409"/>
    <w:rsid w:val="00FC59DF"/>
    <w:rsid w:val="00FE1AA0"/>
    <w:rsid w:val="00FF498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7C11A-6CB4-44B4-B569-877AB20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06B"/>
    <w:pPr>
      <w:ind w:left="113" w:right="113"/>
      <w:jc w:val="center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306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6411D"/>
    <w:pPr>
      <w:spacing w:after="0" w:line="240" w:lineRule="auto"/>
      <w:ind w:left="720" w:firstLine="680"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6159"/>
  </w:style>
  <w:style w:type="paragraph" w:styleId="a7">
    <w:name w:val="footer"/>
    <w:basedOn w:val="a"/>
    <w:link w:val="a8"/>
    <w:uiPriority w:val="99"/>
    <w:semiHidden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6159"/>
  </w:style>
  <w:style w:type="paragraph" w:styleId="2">
    <w:name w:val="Body Text 2"/>
    <w:basedOn w:val="a"/>
    <w:link w:val="20"/>
    <w:uiPriority w:val="99"/>
    <w:rsid w:val="0059026A"/>
    <w:pPr>
      <w:autoSpaceDE w:val="0"/>
      <w:autoSpaceDN w:val="0"/>
      <w:adjustRightInd w:val="0"/>
      <w:spacing w:after="0" w:line="240" w:lineRule="auto"/>
      <w:ind w:right="-185" w:hanging="360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59026A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17D0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17D08"/>
    <w:rPr>
      <w:rFonts w:ascii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28F8"/>
  </w:style>
  <w:style w:type="paragraph" w:styleId="ac">
    <w:name w:val="Normal (Web)"/>
    <w:basedOn w:val="a"/>
    <w:uiPriority w:val="99"/>
    <w:semiHidden/>
    <w:rsid w:val="004A28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B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573AB4B8D14DAD22EF94CE8395D84A965932B3F28FC686A4F0CD3BC813F5ODj5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61B05DCF29D4870CE573AB4B8D14DAD27E197CA8595D84A965932B3O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61B05DCF29D4870CE573AB4B8D14DAD27E197CA8595D84A965932B3OFj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E616-3BFD-4197-AD10-2A0FF563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18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257</cp:revision>
  <cp:lastPrinted>2018-04-23T05:51:00Z</cp:lastPrinted>
  <dcterms:created xsi:type="dcterms:W3CDTF">2016-01-14T09:22:00Z</dcterms:created>
  <dcterms:modified xsi:type="dcterms:W3CDTF">2018-04-25T07:58:00Z</dcterms:modified>
</cp:coreProperties>
</file>