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2F" w:rsidRPr="00260259" w:rsidRDefault="00BD2D2F" w:rsidP="00984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4375" w:rsidRPr="00260259" w:rsidRDefault="00A34375" w:rsidP="009846B2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tbl>
      <w:tblPr>
        <w:tblW w:w="8998" w:type="dxa"/>
        <w:tblInd w:w="5529" w:type="dxa"/>
        <w:tblLook w:val="01E0" w:firstRow="1" w:lastRow="1" w:firstColumn="1" w:lastColumn="1" w:noHBand="0" w:noVBand="0"/>
      </w:tblPr>
      <w:tblGrid>
        <w:gridCol w:w="8998"/>
      </w:tblGrid>
      <w:tr w:rsidR="00A34375" w:rsidRPr="00260259" w:rsidTr="00BD2D2F">
        <w:trPr>
          <w:trHeight w:val="1478"/>
        </w:trPr>
        <w:tc>
          <w:tcPr>
            <w:tcW w:w="8998" w:type="dxa"/>
          </w:tcPr>
          <w:p w:rsidR="00A34375" w:rsidRPr="00260259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  к </w:t>
            </w: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Порядку формирования и </w:t>
            </w:r>
          </w:p>
          <w:p w:rsidR="00A34375" w:rsidRPr="00260259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реализации </w:t>
            </w:r>
            <w:proofErr w:type="gramStart"/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A34375" w:rsidRPr="00260259" w:rsidRDefault="00A34375" w:rsidP="009846B2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программ </w:t>
            </w:r>
            <w:proofErr w:type="spellStart"/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Верхнесалдинского</w:t>
            </w:r>
            <w:proofErr w:type="spellEnd"/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4375" w:rsidRPr="00260259" w:rsidRDefault="00A34375" w:rsidP="00984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260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</w:tbl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9846B2" w:rsidRDefault="009846B2" w:rsidP="009846B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эффективности управления муниципальной собственностью </w:t>
      </w:r>
    </w:p>
    <w:p w:rsidR="009846B2" w:rsidRPr="00260259" w:rsidRDefault="009846B2" w:rsidP="009846B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до 2021 года»</w:t>
      </w: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>Форма 1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D2D2F" w:rsidRPr="00260259" w:rsidRDefault="00A34375" w:rsidP="007E01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59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  <w:r w:rsidR="00467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sz w:val="28"/>
          <w:szCs w:val="28"/>
        </w:rPr>
        <w:t xml:space="preserve">муниципальной  программы </w:t>
      </w:r>
    </w:p>
    <w:p w:rsidR="00A34375" w:rsidRPr="00260259" w:rsidRDefault="009846B2" w:rsidP="00BD2D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34375" w:rsidRPr="0026025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BD0">
        <w:rPr>
          <w:rFonts w:ascii="Times New Roman" w:hAnsi="Times New Roman" w:cs="Times New Roman"/>
          <w:b/>
          <w:sz w:val="28"/>
          <w:szCs w:val="28"/>
        </w:rPr>
        <w:t>12</w:t>
      </w:r>
      <w:r w:rsidR="009320BB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5E1085">
        <w:rPr>
          <w:rFonts w:ascii="Times New Roman" w:hAnsi="Times New Roman" w:cs="Times New Roman"/>
          <w:b/>
          <w:sz w:val="28"/>
          <w:szCs w:val="28"/>
        </w:rPr>
        <w:t>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375" w:rsidRPr="00260259">
        <w:rPr>
          <w:rFonts w:ascii="Times New Roman" w:hAnsi="Times New Roman" w:cs="Times New Roman"/>
          <w:b/>
          <w:sz w:val="28"/>
          <w:szCs w:val="28"/>
        </w:rPr>
        <w:t>20</w:t>
      </w:r>
      <w:r w:rsidR="00BD2D2F" w:rsidRPr="00260259">
        <w:rPr>
          <w:rFonts w:ascii="Times New Roman" w:hAnsi="Times New Roman" w:cs="Times New Roman"/>
          <w:b/>
          <w:sz w:val="28"/>
          <w:szCs w:val="28"/>
        </w:rPr>
        <w:t>1</w:t>
      </w:r>
      <w:r w:rsidR="009320BB">
        <w:rPr>
          <w:rFonts w:ascii="Times New Roman" w:hAnsi="Times New Roman" w:cs="Times New Roman"/>
          <w:b/>
          <w:sz w:val="28"/>
          <w:szCs w:val="28"/>
        </w:rPr>
        <w:t>7</w:t>
      </w:r>
      <w:r w:rsidR="00BD2D2F" w:rsidRPr="002602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34375" w:rsidRPr="002602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4"/>
        <w:gridCol w:w="1417"/>
        <w:gridCol w:w="1134"/>
        <w:gridCol w:w="1276"/>
        <w:gridCol w:w="1134"/>
        <w:gridCol w:w="1418"/>
        <w:gridCol w:w="1134"/>
        <w:gridCol w:w="3089"/>
      </w:tblGrid>
      <w:tr w:rsidR="00A34375" w:rsidRPr="009A6969" w:rsidTr="009A6969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№ строки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  <w:hyperlink w:anchor="sub_222" w:history="1">
              <w:r w:rsidRPr="009A696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Процент выполнения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Причины отклонений от планового значения</w:t>
            </w:r>
          </w:p>
        </w:tc>
      </w:tr>
      <w:tr w:rsidR="00A34375" w:rsidRPr="009A6969" w:rsidTr="009A6969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375" w:rsidRPr="009A6969" w:rsidTr="009A6969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от годового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от значения отчетного периода</w:t>
            </w: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375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9A6969" w:rsidRDefault="00A34375" w:rsidP="00FB63B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05FFE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9A6969" w:rsidRDefault="00505FFE" w:rsidP="00984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="009846B2"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1. Оптимизация состава муниципального имущества</w:t>
            </w:r>
            <w:r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</w:tc>
      </w:tr>
      <w:tr w:rsidR="00505FFE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9A6969" w:rsidRDefault="00505FFE" w:rsidP="009846B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</w:t>
            </w: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46B2" w:rsidRPr="009A6969">
              <w:rPr>
                <w:rFonts w:ascii="Times New Roman" w:hAnsi="Times New Roman" w:cs="Times New Roman"/>
                <w:sz w:val="26"/>
                <w:szCs w:val="26"/>
              </w:rPr>
              <w:t>Актуализация</w:t>
            </w:r>
            <w:r w:rsidR="00FE5980" w:rsidRPr="009A6969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по муниципальному имуществу, переданному в хозяйственное ведение муниципальным унитарным предприятиям</w:t>
            </w:r>
          </w:p>
          <w:p w:rsidR="009A6969" w:rsidRPr="009A6969" w:rsidRDefault="009A6969" w:rsidP="009A696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6969" w:rsidRDefault="009A6969">
      <w:r>
        <w:br w:type="page"/>
      </w: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4"/>
        <w:gridCol w:w="1417"/>
        <w:gridCol w:w="1134"/>
        <w:gridCol w:w="1276"/>
        <w:gridCol w:w="1134"/>
        <w:gridCol w:w="1418"/>
        <w:gridCol w:w="1134"/>
        <w:gridCol w:w="3089"/>
      </w:tblGrid>
      <w:tr w:rsidR="0019419D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D" w:rsidRPr="009A6969" w:rsidRDefault="0019419D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D" w:rsidRPr="009A6969" w:rsidRDefault="0019419D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D" w:rsidRPr="009A6969" w:rsidRDefault="0019419D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D" w:rsidRPr="009A6969" w:rsidRDefault="0019419D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D" w:rsidRPr="009A6969" w:rsidRDefault="0019419D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D" w:rsidRPr="009A6969" w:rsidRDefault="0019419D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D" w:rsidRPr="009A6969" w:rsidRDefault="0019419D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D" w:rsidRPr="009A6969" w:rsidRDefault="0019419D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19D" w:rsidRPr="009A6969" w:rsidRDefault="0019419D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05FFE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505FFE" w:rsidP="00FE598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показатель 1</w:t>
            </w: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 xml:space="preserve"> Доля </w:t>
            </w:r>
            <w:r w:rsidR="00FE5980" w:rsidRPr="009A6969">
              <w:rPr>
                <w:rFonts w:ascii="Times New Roman" w:hAnsi="Times New Roman" w:cs="Times New Roman"/>
                <w:sz w:val="26"/>
                <w:szCs w:val="26"/>
              </w:rPr>
              <w:t>муниципальных унитарных предприятий, осуществляющих хозяйственную деятельность, по которым актуализированы сведения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FE5980" w:rsidP="00EC3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FE5980" w:rsidP="008F3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8A44E0" w:rsidP="00EC36A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FE5980" w:rsidP="00EC36A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FE5980" w:rsidP="00EC36A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0F030D" w:rsidRPr="009A696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8A44E0" w:rsidP="00EC36A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0F030D" w:rsidRPr="009A696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9A6969" w:rsidRDefault="000F030D" w:rsidP="00EC36A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05FFE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9A6969" w:rsidRDefault="00505FFE" w:rsidP="00FE59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</w:t>
            </w: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5980" w:rsidRPr="009A6969">
              <w:rPr>
                <w:rFonts w:ascii="Times New Roman" w:hAnsi="Times New Roman" w:cs="Times New Roman"/>
                <w:sz w:val="26"/>
                <w:szCs w:val="26"/>
              </w:rPr>
              <w:t>Увеличение доли объектов муниципального недвижимого имущества с государственной регистрацией прав на объекты</w:t>
            </w:r>
          </w:p>
        </w:tc>
      </w:tr>
      <w:tr w:rsidR="00505FFE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505FFE" w:rsidP="00FE59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Целевой показатель 2 </w:t>
            </w:r>
            <w:r w:rsidR="00FE5980" w:rsidRPr="009A6969">
              <w:rPr>
                <w:rFonts w:ascii="Times New Roman" w:hAnsi="Times New Roman" w:cs="Times New Roman"/>
                <w:sz w:val="26"/>
                <w:szCs w:val="26"/>
              </w:rPr>
              <w:t>доля объектов недвижимого имущества, находящихся в муниципальной собственности с государственной регистрацией прав на объекты в общем числе таких объектов, подлежащих государственной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FE5980" w:rsidP="00354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Процентов от общего колич</w:t>
            </w:r>
            <w:r w:rsidR="003544EA" w:rsidRPr="009A696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ства объектов, подлежащих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FE5980" w:rsidP="008F3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0F030D" w:rsidP="00691E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87,</w:t>
            </w:r>
            <w:r w:rsidR="00691ECF" w:rsidRPr="009A69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8A44E0" w:rsidP="00691EC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87,</w:t>
            </w:r>
            <w:r w:rsidR="00691ECF" w:rsidRPr="009A69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8A44E0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0F030D" w:rsidRPr="009A696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8A44E0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0F030D" w:rsidRPr="009A696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9A6969" w:rsidRDefault="000F030D" w:rsidP="002941E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C7839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9A6969" w:rsidRDefault="00FE5980" w:rsidP="00FE598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>Цель 2 Обеспечение доходов местного бюджета от использования и приватизации муниципального имущества</w:t>
            </w:r>
          </w:p>
        </w:tc>
      </w:tr>
      <w:tr w:rsidR="00FE5980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80" w:rsidRPr="009A6969" w:rsidRDefault="00FE5980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980" w:rsidRPr="009A6969" w:rsidRDefault="00FE5980" w:rsidP="00FE598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3 </w:t>
            </w: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Обеспечение полноты и своевременности</w:t>
            </w:r>
            <w:r w:rsidR="001B4949" w:rsidRPr="009A6969"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поступлений в местный бюджет доходов по источникам, закрепленным за комитетом по управлению имуществом</w:t>
            </w:r>
          </w:p>
        </w:tc>
      </w:tr>
    </w:tbl>
    <w:p w:rsidR="00EA6B40" w:rsidRPr="009A6969" w:rsidRDefault="00EA6B40">
      <w:pPr>
        <w:rPr>
          <w:sz w:val="26"/>
          <w:szCs w:val="26"/>
        </w:rPr>
      </w:pPr>
      <w:r w:rsidRPr="009A6969">
        <w:rPr>
          <w:sz w:val="26"/>
          <w:szCs w:val="26"/>
        </w:rPr>
        <w:br w:type="page"/>
      </w:r>
    </w:p>
    <w:tbl>
      <w:tblPr>
        <w:tblW w:w="150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4"/>
        <w:gridCol w:w="1417"/>
        <w:gridCol w:w="1134"/>
        <w:gridCol w:w="1276"/>
        <w:gridCol w:w="1134"/>
        <w:gridCol w:w="1418"/>
        <w:gridCol w:w="1134"/>
        <w:gridCol w:w="3231"/>
      </w:tblGrid>
      <w:tr w:rsidR="00EA6B40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C7839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2C7839" w:rsidP="002C78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показатель 3</w:t>
            </w:r>
          </w:p>
          <w:p w:rsidR="002C7839" w:rsidRPr="009A6969" w:rsidRDefault="001B4949" w:rsidP="002C78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Доходы местного бюджета от использования и приватизации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1B4949" w:rsidP="00505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мл</w:t>
            </w:r>
            <w:proofErr w:type="gramStart"/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A69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1B4949" w:rsidP="00505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0F030D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0F030D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0F030D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0F030D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9A6969" w:rsidRDefault="009A6969" w:rsidP="00505FF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расторжения договоров аренды нежилых помещений по инициативе арендаторов, что повлекло снижение планируемых поступлений; не состоялись аукционы по сдаче в аренду и продаже нежилых помещений объектов муниципальной собственности ввиду отсутствия заявок</w:t>
            </w:r>
          </w:p>
        </w:tc>
      </w:tr>
      <w:tr w:rsidR="00505FFE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9A6969" w:rsidRDefault="00505FFE" w:rsidP="001B49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Цель.</w:t>
            </w:r>
            <w:r w:rsidR="001B4949" w:rsidRPr="009A69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 </w:t>
            </w:r>
            <w:r w:rsidR="001B4949"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>наполнение государственного кадастра недвижимости актуальными данными</w:t>
            </w:r>
          </w:p>
        </w:tc>
      </w:tr>
      <w:tr w:rsidR="002C7839" w:rsidRPr="009A6969" w:rsidTr="009A6969">
        <w:trPr>
          <w:trHeight w:val="45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9A6969" w:rsidRDefault="002C7839" w:rsidP="001B494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Задача </w:t>
            </w:r>
            <w:r w:rsidR="001B4949" w:rsidRPr="009A69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B4949" w:rsidRPr="009A6969">
              <w:rPr>
                <w:rFonts w:ascii="Times New Roman" w:hAnsi="Times New Roman" w:cs="Times New Roman"/>
                <w:sz w:val="26"/>
                <w:szCs w:val="26"/>
              </w:rPr>
              <w:t>Формирование земельных участков для предоставления путем проведения торгов.</w:t>
            </w:r>
          </w:p>
        </w:tc>
      </w:tr>
      <w:tr w:rsidR="00505FFE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505FFE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Целевой показатель </w:t>
            </w:r>
            <w:r w:rsidR="001B4949"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505FFE" w:rsidRPr="009A6969" w:rsidRDefault="001B4949" w:rsidP="00505F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Доля площади земельных участков, являющихся объектами налогообложения земельным налогом в общей площади территории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2C7839" w:rsidP="00505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1B4949" w:rsidP="0082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0F030D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1B4949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E84B90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0F030D" w:rsidRPr="009A696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8A44E0" w:rsidP="00E84B9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0F030D" w:rsidRPr="009A696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9A6969" w:rsidRDefault="000F030D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C7839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2C7839" w:rsidP="00824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2C7839" w:rsidP="002C78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Целевой показатель </w:t>
            </w:r>
            <w:r w:rsidR="001B4949"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2C7839" w:rsidRPr="009A6969" w:rsidRDefault="001B4949" w:rsidP="002C78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Площадь земельных участков, предоставленных для строительства в расчете на 10 тыс. человек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1B4949" w:rsidP="00505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1B4949" w:rsidP="0082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0F030D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0F030D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0F030D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0F030D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97,3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9A6969" w:rsidRDefault="009A6969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отсутствие заявок на предоставление земельных участков для строительства</w:t>
            </w:r>
          </w:p>
        </w:tc>
      </w:tr>
    </w:tbl>
    <w:p w:rsidR="009A6969" w:rsidRDefault="009A6969">
      <w:r>
        <w:br w:type="page"/>
      </w:r>
    </w:p>
    <w:tbl>
      <w:tblPr>
        <w:tblW w:w="150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4"/>
        <w:gridCol w:w="1417"/>
        <w:gridCol w:w="1134"/>
        <w:gridCol w:w="1276"/>
        <w:gridCol w:w="1134"/>
        <w:gridCol w:w="1418"/>
        <w:gridCol w:w="1134"/>
        <w:gridCol w:w="3231"/>
      </w:tblGrid>
      <w:tr w:rsidR="00EA6B40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sz w:val="26"/>
                <w:szCs w:val="26"/>
              </w:rPr>
              <w:lastRenderedPageBreak/>
              <w:br w:type="page"/>
            </w: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B40" w:rsidRPr="009A6969" w:rsidRDefault="00EA6B40" w:rsidP="00EA6B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05FFE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505FFE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505FFE" w:rsidP="00505F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Целевой показатель </w:t>
            </w:r>
            <w:r w:rsidR="001B4949"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505FFE" w:rsidRPr="009A6969" w:rsidRDefault="001B4949" w:rsidP="00505F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 xml:space="preserve">Площадь земельных </w:t>
            </w:r>
            <w:r w:rsidR="00835324" w:rsidRPr="009A696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частков, предоставленных для жилищного, индивидуального жилищного строительства и комплексного освоения в целях жилищного строительства в расчете на 10 тыс. чел.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1B4949" w:rsidP="00505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1B4949" w:rsidP="00CC33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0F030D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0F030D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0F030D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E" w:rsidRPr="009A6969" w:rsidRDefault="000F030D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121,5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FFE" w:rsidRPr="009A6969" w:rsidRDefault="000F030D" w:rsidP="00B45CF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C7839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9A6969" w:rsidRDefault="002C7839" w:rsidP="0083532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</w:t>
            </w:r>
            <w:r w:rsidR="00835324" w:rsidRPr="009A69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</w:t>
            </w:r>
            <w:r w:rsidRPr="009A69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35324" w:rsidRPr="009A6969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доходов местного бюджета от использования земельных участков</w:t>
            </w:r>
          </w:p>
        </w:tc>
      </w:tr>
      <w:tr w:rsidR="002C7839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9A6969" w:rsidRDefault="002C7839" w:rsidP="0083532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6"/>
                <w:szCs w:val="26"/>
              </w:rPr>
              <w:t xml:space="preserve">Задача </w:t>
            </w:r>
            <w:r w:rsidR="00835324" w:rsidRPr="009A696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6"/>
                <w:szCs w:val="26"/>
              </w:rPr>
              <w:t>5</w:t>
            </w:r>
            <w:r w:rsidRPr="009A696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6"/>
                <w:szCs w:val="26"/>
              </w:rPr>
              <w:t>.</w:t>
            </w:r>
            <w:r w:rsidRPr="009A6969">
              <w:rPr>
                <w:rFonts w:ascii="Times New Roman" w:eastAsiaTheme="minorEastAsia" w:hAnsi="Times New Roman" w:cs="Times New Roman"/>
                <w:bCs/>
                <w:color w:val="26282F"/>
                <w:sz w:val="26"/>
                <w:szCs w:val="26"/>
              </w:rPr>
              <w:t xml:space="preserve"> </w:t>
            </w:r>
            <w:r w:rsidR="00835324" w:rsidRPr="009A6969">
              <w:rPr>
                <w:rFonts w:ascii="Times New Roman" w:eastAsiaTheme="minorEastAsia" w:hAnsi="Times New Roman" w:cs="Times New Roman"/>
                <w:bCs/>
                <w:color w:val="26282F"/>
                <w:sz w:val="26"/>
                <w:szCs w:val="26"/>
              </w:rPr>
              <w:t>Обеспечение полноты и своевременности поступлений в местный бюджет доходов по источникам, закрепленным за комитетом по управлению имуществом ВСГО</w:t>
            </w:r>
          </w:p>
        </w:tc>
      </w:tr>
      <w:tr w:rsidR="002C7839" w:rsidRPr="009A6969" w:rsidTr="009A696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2C7839" w:rsidP="00824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9A6969" w:rsidRDefault="002C7839" w:rsidP="002C7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9A6969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Целевой показатель </w:t>
            </w:r>
            <w:r w:rsidR="00835324" w:rsidRPr="009A6969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7.</w:t>
            </w:r>
          </w:p>
          <w:p w:rsidR="002C7839" w:rsidRPr="009A6969" w:rsidRDefault="00835324" w:rsidP="002C783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6"/>
                <w:szCs w:val="26"/>
              </w:rPr>
            </w:pPr>
            <w:r w:rsidRPr="009A6969">
              <w:rPr>
                <w:rFonts w:ascii="Times New Roman" w:eastAsiaTheme="minorEastAsia" w:hAnsi="Times New Roman" w:cs="Times New Roman"/>
                <w:sz w:val="26"/>
                <w:szCs w:val="26"/>
              </w:rPr>
              <w:t>Доходы местного бюджета от использования земельных участков (продажа, сдача в аренду)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835324" w:rsidP="00505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0F030D" w:rsidP="00855D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0F030D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0F030D" w:rsidP="00855DC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0F030D" w:rsidP="00855DC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9" w:rsidRPr="009A6969" w:rsidRDefault="000F030D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101,6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839" w:rsidRPr="009A6969" w:rsidRDefault="000F030D" w:rsidP="0082481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96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C82C07" w:rsidRPr="009A6969" w:rsidRDefault="00A34375" w:rsidP="00A34375">
      <w:pPr>
        <w:pStyle w:val="a4"/>
        <w:rPr>
          <w:rFonts w:ascii="Times New Roman" w:hAnsi="Times New Roman" w:cs="Times New Roman"/>
          <w:sz w:val="26"/>
          <w:szCs w:val="26"/>
        </w:rPr>
      </w:pPr>
      <w:r w:rsidRPr="009A6969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9A6969">
        <w:rPr>
          <w:rFonts w:ascii="Times New Roman" w:hAnsi="Times New Roman" w:cs="Times New Roman"/>
          <w:sz w:val="26"/>
          <w:szCs w:val="26"/>
        </w:rPr>
        <w:t xml:space="preserve"> заполняется </w:t>
      </w:r>
      <w:r w:rsidR="007016DA" w:rsidRPr="009A6969">
        <w:rPr>
          <w:rFonts w:ascii="Times New Roman" w:hAnsi="Times New Roman" w:cs="Times New Roman"/>
          <w:sz w:val="26"/>
          <w:szCs w:val="26"/>
        </w:rPr>
        <w:t xml:space="preserve"> с </w:t>
      </w:r>
      <w:r w:rsidRPr="009A6969">
        <w:rPr>
          <w:rFonts w:ascii="Times New Roman" w:hAnsi="Times New Roman" w:cs="Times New Roman"/>
          <w:sz w:val="26"/>
          <w:szCs w:val="26"/>
        </w:rPr>
        <w:t>нарастающим итогом</w:t>
      </w:r>
    </w:p>
    <w:p w:rsidR="00C82C07" w:rsidRPr="009A6969" w:rsidRDefault="00C82C07" w:rsidP="00A3437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82C07" w:rsidRPr="009A6969" w:rsidRDefault="00C82C07" w:rsidP="00A3437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35324" w:rsidRDefault="00835324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969" w:rsidRDefault="009A696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969" w:rsidRDefault="009A696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969" w:rsidRDefault="009A696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969" w:rsidRDefault="009A696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969" w:rsidRDefault="009A696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969" w:rsidRDefault="009A696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969" w:rsidRPr="00260259" w:rsidRDefault="009A6969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2C07" w:rsidRPr="00260259" w:rsidRDefault="00C82C07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34375" w:rsidRPr="00260259" w:rsidRDefault="00A34375" w:rsidP="00A34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375" w:rsidRPr="00260259" w:rsidRDefault="00A34375" w:rsidP="002A1B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  <w:r w:rsidR="00585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585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25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585977" w:rsidRDefault="002A1BE8" w:rsidP="005859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85977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эффективности управления муниципальной собственностью </w:t>
      </w:r>
    </w:p>
    <w:p w:rsidR="002A1BE8" w:rsidRPr="00260259" w:rsidRDefault="00585977" w:rsidP="005859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r w:rsidR="002A1BE8" w:rsidRPr="00260259">
        <w:rPr>
          <w:rFonts w:ascii="Times New Roman" w:hAnsi="Times New Roman" w:cs="Times New Roman"/>
          <w:b/>
          <w:bCs/>
          <w:sz w:val="28"/>
          <w:szCs w:val="28"/>
        </w:rPr>
        <w:t xml:space="preserve"> до 2021 года»</w:t>
      </w:r>
    </w:p>
    <w:p w:rsidR="00A34375" w:rsidRPr="00260259" w:rsidRDefault="002252CC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259">
        <w:rPr>
          <w:rFonts w:ascii="Times New Roman" w:hAnsi="Times New Roman" w:cs="Times New Roman"/>
          <w:sz w:val="28"/>
          <w:szCs w:val="28"/>
        </w:rPr>
        <w:t xml:space="preserve">за </w:t>
      </w:r>
      <w:r w:rsidR="000F030D">
        <w:rPr>
          <w:rFonts w:ascii="Times New Roman" w:hAnsi="Times New Roman" w:cs="Times New Roman"/>
          <w:sz w:val="28"/>
          <w:szCs w:val="28"/>
        </w:rPr>
        <w:t>12</w:t>
      </w:r>
      <w:r w:rsidR="00D310F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585977">
        <w:rPr>
          <w:rFonts w:ascii="Times New Roman" w:hAnsi="Times New Roman" w:cs="Times New Roman"/>
          <w:sz w:val="28"/>
          <w:szCs w:val="28"/>
        </w:rPr>
        <w:t xml:space="preserve"> </w:t>
      </w:r>
      <w:r w:rsidR="008F31C9">
        <w:rPr>
          <w:rFonts w:ascii="Times New Roman" w:hAnsi="Times New Roman" w:cs="Times New Roman"/>
          <w:sz w:val="28"/>
          <w:szCs w:val="28"/>
        </w:rPr>
        <w:t>201</w:t>
      </w:r>
      <w:r w:rsidR="00063EF3">
        <w:rPr>
          <w:rFonts w:ascii="Times New Roman" w:hAnsi="Times New Roman" w:cs="Times New Roman"/>
          <w:sz w:val="28"/>
          <w:szCs w:val="28"/>
        </w:rPr>
        <w:t>7</w:t>
      </w:r>
      <w:r w:rsidR="002A1BE8" w:rsidRPr="00260259">
        <w:rPr>
          <w:rFonts w:ascii="Times New Roman" w:hAnsi="Times New Roman" w:cs="Times New Roman"/>
          <w:sz w:val="28"/>
          <w:szCs w:val="28"/>
        </w:rPr>
        <w:t xml:space="preserve"> год</w:t>
      </w:r>
      <w:r w:rsidR="00585977">
        <w:rPr>
          <w:rFonts w:ascii="Times New Roman" w:hAnsi="Times New Roman" w:cs="Times New Roman"/>
          <w:sz w:val="28"/>
          <w:szCs w:val="28"/>
        </w:rPr>
        <w:t>а</w:t>
      </w:r>
      <w:r w:rsidR="002A1BE8" w:rsidRPr="00260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375" w:rsidRPr="00260259" w:rsidRDefault="00A34375" w:rsidP="00A343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326"/>
        <w:gridCol w:w="2607"/>
        <w:gridCol w:w="29"/>
      </w:tblGrid>
      <w:tr w:rsidR="00A34375" w:rsidRPr="00EA6B40" w:rsidTr="009A696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A34375" w:rsidP="00EA6B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6963AE" w:rsidP="00EA6B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мероприятия/</w:t>
            </w:r>
            <w:r w:rsidR="00A34375" w:rsidRPr="00EA6B40">
              <w:rPr>
                <w:rFonts w:ascii="Times New Roman" w:hAnsi="Times New Roman" w:cs="Times New Roman"/>
                <w:sz w:val="26"/>
                <w:szCs w:val="26"/>
              </w:rPr>
              <w:t>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A34375" w:rsidP="00EA6B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Объем расходов на выполнение мероприятия, тыс. рублей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A34375" w:rsidP="00EA6B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выполнение с учетом экономии, процентов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EA6B40" w:rsidRDefault="00A34375" w:rsidP="00EA6B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Информация о фактическом исполнении мероприятия</w:t>
            </w:r>
          </w:p>
        </w:tc>
      </w:tr>
      <w:tr w:rsidR="00A34375" w:rsidRPr="00EA6B40" w:rsidTr="009A6969">
        <w:trPr>
          <w:jc w:val="center"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A34375" w:rsidP="00EA6B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A34375" w:rsidP="00EA6B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A34375" w:rsidP="00EA6B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hyperlink w:anchor="sub_111" w:history="1">
              <w:r w:rsidRPr="00EA6B4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A34375" w:rsidP="00EA6B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E57C08" w:rsidP="00EA6B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A34375" w:rsidRPr="00EA6B40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A34375" w:rsidP="00EA6B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экономия по результатам проведенных конкурсных процедур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A34375" w:rsidP="00EA6B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EA6B40" w:rsidRDefault="00A34375" w:rsidP="00EA6B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375" w:rsidRPr="00EA6B40" w:rsidTr="009A696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A34375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A34375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A34375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A34375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A34375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A34375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EA6B40" w:rsidRDefault="00A34375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EA6B40" w:rsidRDefault="00A34375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363AC" w:rsidRPr="00EA6B40" w:rsidTr="009A6969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C" w:rsidRPr="00EA6B40" w:rsidRDefault="00C363AC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C" w:rsidRPr="00EA6B40" w:rsidRDefault="00C363AC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Всего по </w:t>
            </w:r>
            <w:r w:rsidR="00585977" w:rsidRPr="00EA6B40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программе</w:t>
            </w: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AC" w:rsidRPr="00EA6B40" w:rsidRDefault="000F030D" w:rsidP="009A6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7529,3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C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6977,9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C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92,68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C" w:rsidRPr="00EA6B40" w:rsidRDefault="00C363AC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C" w:rsidRPr="00EA6B40" w:rsidRDefault="00C363AC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AC" w:rsidRPr="00EA6B40" w:rsidRDefault="00C363AC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0F030D" w:rsidRPr="00EA6B40" w:rsidTr="009A696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0D" w:rsidRPr="00EA6B40" w:rsidRDefault="000F030D" w:rsidP="009A6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7529,3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6977,9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92,68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0D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0F030D" w:rsidRPr="00EA6B40" w:rsidTr="009A6969">
        <w:trPr>
          <w:trHeight w:val="135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0D" w:rsidRPr="00EA6B40" w:rsidRDefault="000F030D" w:rsidP="009A6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7529,3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6977,9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92,68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0D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0F030D" w:rsidRPr="00EA6B40" w:rsidTr="009A696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0D" w:rsidRPr="00EA6B40" w:rsidRDefault="000F030D" w:rsidP="009A69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7529,3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6977,9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92,68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0D" w:rsidRPr="00EA6B40" w:rsidRDefault="000F030D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85977" w:rsidRPr="00EA6B40" w:rsidTr="009A696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A6B40" w:rsidRDefault="00585977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77" w:rsidRPr="00EA6B40" w:rsidRDefault="00585977" w:rsidP="00EA6B4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1. «Управление муниципальной собственностью и приватизация муниципального имущества </w:t>
            </w:r>
            <w:proofErr w:type="spellStart"/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Верхнесалдинского</w:t>
            </w:r>
            <w:proofErr w:type="spellEnd"/>
            <w:r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</w:t>
            </w:r>
          </w:p>
        </w:tc>
      </w:tr>
      <w:tr w:rsidR="00585977" w:rsidRPr="00EA6B40" w:rsidTr="009A696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A6B40" w:rsidRDefault="00585977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A6B40" w:rsidRDefault="00585977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1,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77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1233,9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732,5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59,4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A6B40" w:rsidRDefault="00585977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A6B40" w:rsidRDefault="00585977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77" w:rsidRPr="00EA6B40" w:rsidRDefault="00585977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0F030D" w:rsidRPr="00EA6B40" w:rsidTr="009A696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0D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1233,9</w:t>
            </w:r>
          </w:p>
          <w:p w:rsidR="00BF6BE9" w:rsidRPr="00EA6B40" w:rsidRDefault="00BF6BE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732,5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59,4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0D" w:rsidRPr="00EA6B40" w:rsidRDefault="000F030D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BF6BE9" w:rsidRPr="00EA6B40" w:rsidTr="00741540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F030D" w:rsidRPr="00EA6B40" w:rsidTr="009A696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1233,9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732,5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59,4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0D" w:rsidRPr="00EA6B40" w:rsidRDefault="000F030D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0F030D" w:rsidRPr="00EA6B40" w:rsidTr="009A696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1233,9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732,5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59,4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0D" w:rsidRPr="00EA6B40" w:rsidRDefault="000F030D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85977" w:rsidRPr="00EA6B40" w:rsidTr="009A6969">
        <w:trPr>
          <w:trHeight w:val="83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A6B40" w:rsidRDefault="00585977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7" w:rsidRPr="00EA6B40" w:rsidRDefault="00585977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467F1E" w:rsidRPr="00EA6B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. 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77" w:rsidRPr="00EA6B40" w:rsidRDefault="000F030D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362,5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77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360,5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77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77" w:rsidRPr="00EA6B40" w:rsidRDefault="00585977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77" w:rsidRPr="00EA6B40" w:rsidRDefault="00585977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77" w:rsidRDefault="0022712E" w:rsidP="002271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712E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заключено 5 договоров на проведение кадастровых работ, осуществление постановки на учет в качестве бесхозяйного имущества с последующей регистрацией права на общую сумму 279,5 тысяч рублей из них 2 договора в отношении 25 объектов коммунального хозяйства (канализационные сети) на сумму 112,5 тысяч рублей, 2 договора в отношении 34 объектов газопроводов высокого и низкого давления на сумму 162,0 тыс. рублей, 1 </w:t>
            </w:r>
            <w:r w:rsidRPr="002271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</w:t>
            </w:r>
            <w:proofErr w:type="gramEnd"/>
            <w:r w:rsidRPr="0022712E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бесхозяйного имущества – памятник погибшим заводчанам на сумму 5,0 тыс. рублей. На сумму 81,0 тысяча рублей погашена кредиторская задолженность по выполненным работам в 2016 году.</w:t>
            </w:r>
          </w:p>
          <w:p w:rsidR="00BF6BE9" w:rsidRDefault="00BF6BE9" w:rsidP="002271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Pr="00EA6B40" w:rsidRDefault="00BF6BE9" w:rsidP="002271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F030D" w:rsidRPr="00EA6B40" w:rsidTr="009A696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362,5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360,5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0D" w:rsidRPr="00EA6B40" w:rsidRDefault="000F030D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1B52C8" w:rsidRPr="00EA6B40" w:rsidTr="009A6969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8" w:rsidRPr="00EA6B40" w:rsidRDefault="001B52C8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8" w:rsidRDefault="001B52C8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467F1E" w:rsidRPr="00EA6B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. Проведение 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 всего, из них</w:t>
            </w:r>
          </w:p>
          <w:p w:rsidR="00BF6BE9" w:rsidRPr="00EA6B40" w:rsidRDefault="00BF6BE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C8" w:rsidRPr="00EA6B40" w:rsidRDefault="000F030D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A6B40" w:rsidRDefault="001B52C8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A6B40" w:rsidRDefault="001B52C8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C8" w:rsidRDefault="0022712E" w:rsidP="002271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12E">
              <w:rPr>
                <w:rFonts w:ascii="Times New Roman" w:hAnsi="Times New Roman" w:cs="Times New Roman"/>
                <w:sz w:val="26"/>
                <w:szCs w:val="26"/>
              </w:rPr>
              <w:t>заключено 2 договора на проведение кадастровых работ в отношении 3 объектов недвижимости, находящихся в муниципальной собственности на общую сумму 50,0 тысяч рублей</w:t>
            </w:r>
          </w:p>
          <w:p w:rsidR="00BF6BE9" w:rsidRDefault="00BF6BE9" w:rsidP="002271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2271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2271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Pr="00EA6B40" w:rsidRDefault="00BF6BE9" w:rsidP="002271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30D" w:rsidRPr="00EA6B40" w:rsidTr="00BF6BE9">
        <w:trPr>
          <w:trHeight w:hRule="exact" w:val="935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Default="000F030D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BF6BE9" w:rsidRDefault="00BF6BE9" w:rsidP="00BF6B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BF6B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BF6B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BF6B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Pr="00BF6BE9" w:rsidRDefault="00BF6BE9" w:rsidP="00BF6B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Pr="00BF6BE9" w:rsidRDefault="00BF6BE9" w:rsidP="00BF6B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Pr="00BF6BE9" w:rsidRDefault="00BF6BE9" w:rsidP="00BF6B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Pr="00BF6BE9" w:rsidRDefault="00BF6BE9" w:rsidP="00BF6B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Pr="00BF6BE9" w:rsidRDefault="00BF6BE9" w:rsidP="00BF6B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30D" w:rsidRPr="00BF6BE9" w:rsidRDefault="000F030D" w:rsidP="00BF6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0D" w:rsidRDefault="00BF6BE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BF6BE9" w:rsidRDefault="00BF6BE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Pr="00EA6B40" w:rsidRDefault="00BF6BE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6BE9" w:rsidRPr="00EA6B40" w:rsidTr="00741540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B52C8" w:rsidRPr="00EA6B40" w:rsidTr="00BF6BE9">
        <w:trPr>
          <w:trHeight w:hRule="exact" w:val="362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8" w:rsidRPr="00EA6B40" w:rsidRDefault="001B52C8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8" w:rsidRDefault="001B52C8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467F1E" w:rsidRPr="00EA6B4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работ 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</w:t>
            </w:r>
            <w:proofErr w:type="gramStart"/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 всего, из них</w:t>
            </w:r>
          </w:p>
          <w:p w:rsidR="00BF6BE9" w:rsidRDefault="00BF6BE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Pr="00EA6B40" w:rsidRDefault="00BF6BE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C8" w:rsidRPr="00EA6B40" w:rsidRDefault="001B52C8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A6B40" w:rsidRDefault="000F030D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A6B40" w:rsidRDefault="000F030D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A6B40" w:rsidRDefault="001B52C8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8" w:rsidRPr="00EA6B40" w:rsidRDefault="001B52C8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2C8" w:rsidRPr="00EA6B40" w:rsidRDefault="0022712E" w:rsidP="002271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12E">
              <w:rPr>
                <w:rFonts w:ascii="Times New Roman" w:hAnsi="Times New Roman" w:cs="Times New Roman"/>
                <w:sz w:val="26"/>
                <w:szCs w:val="26"/>
              </w:rPr>
              <w:t>заключено 10 договоров на выполнение работ по оценке рыночной стоимости объектов недвижимости для передачи в аренду и приватизации на 17 объектов на общую сумму 98,0 тысяч рублей.</w:t>
            </w:r>
          </w:p>
        </w:tc>
      </w:tr>
      <w:tr w:rsidR="000F030D" w:rsidRPr="00EA6B40" w:rsidTr="00BF6BE9">
        <w:trPr>
          <w:trHeight w:hRule="exact" w:val="81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Pr="00EA6B40" w:rsidRDefault="000F030D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D" w:rsidRDefault="000F030D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BF6BE9" w:rsidRDefault="00BF6BE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Pr="00EA6B40" w:rsidRDefault="00BF6BE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30D" w:rsidRPr="00EA6B40" w:rsidRDefault="000F030D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D" w:rsidRPr="00EA6B40" w:rsidRDefault="000F030D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0D" w:rsidRDefault="00BF6BE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BF6BE9" w:rsidRDefault="00BF6BE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Pr="00EA6B40" w:rsidRDefault="00BF6BE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9FA" w:rsidRPr="00EA6B40" w:rsidTr="00290559">
        <w:trPr>
          <w:trHeight w:hRule="exact" w:val="381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A" w:rsidRPr="00EA6B40" w:rsidRDefault="00CD39FA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A" w:rsidRPr="00EA6B40" w:rsidRDefault="00CD39FA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467F1E" w:rsidRPr="00EA6B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. Содержание, текущий и капитальный ремонт объектов, составляющих муниципальную казну городского округ</w:t>
            </w:r>
            <w:proofErr w:type="gramStart"/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 всего, из них,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FA" w:rsidRPr="00EA6B40" w:rsidRDefault="00CD39FA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A6B40" w:rsidRDefault="000F030D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A6B40" w:rsidRDefault="000F030D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A6B40" w:rsidRDefault="00CD39FA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A6B40" w:rsidRDefault="00CD39FA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FA" w:rsidRDefault="0022712E" w:rsidP="002271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2712E">
              <w:rPr>
                <w:rFonts w:ascii="Times New Roman" w:hAnsi="Times New Roman" w:cs="Times New Roman"/>
                <w:sz w:val="26"/>
                <w:szCs w:val="26"/>
              </w:rPr>
              <w:t xml:space="preserve">аключены 2 договора на 2017 год об охране объектов муниципальной собственности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712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22712E">
              <w:rPr>
                <w:rFonts w:ascii="Times New Roman" w:hAnsi="Times New Roman" w:cs="Times New Roman"/>
                <w:sz w:val="26"/>
                <w:szCs w:val="26"/>
              </w:rPr>
              <w:t>ежилых зданий на общую сумму 132,2 тысячи рублей. На сумму 66,2 тыс. рублей опла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чена кредиторская задолженность</w:t>
            </w:r>
            <w:r w:rsidRPr="002271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6BE9" w:rsidRDefault="00BF6BE9" w:rsidP="002271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2271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2271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Pr="00EA6B40" w:rsidRDefault="00BF6BE9" w:rsidP="002271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6A5" w:rsidRPr="00EA6B40" w:rsidTr="00290559">
        <w:trPr>
          <w:trHeight w:hRule="exact" w:val="1643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5" w:rsidRPr="00EA6B40" w:rsidRDefault="009606A5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5" w:rsidRPr="00EA6B40" w:rsidRDefault="009606A5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EA6B40" w:rsidRPr="00EA6B40" w:rsidRDefault="00EA6B40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B40" w:rsidRDefault="00EA6B40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Default="00BF6BE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BE9" w:rsidRPr="00EA6B40" w:rsidRDefault="00BF6BE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B40" w:rsidRPr="00EA6B40" w:rsidRDefault="00EA6B40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B40" w:rsidRPr="00EA6B40" w:rsidRDefault="00EA6B40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B40" w:rsidRPr="00EA6B40" w:rsidRDefault="00EA6B40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B40" w:rsidRPr="00EA6B40" w:rsidRDefault="00EA6B40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B40" w:rsidRPr="00EA6B40" w:rsidRDefault="00EA6B40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B40" w:rsidRPr="00EA6B40" w:rsidRDefault="00EA6B40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E9" w:rsidRDefault="00BF6BE9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9606A5" w:rsidRPr="00EA6B40" w:rsidRDefault="009606A5" w:rsidP="00BF6BE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6A5" w:rsidRDefault="00BF6BE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290559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559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559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559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559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559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559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559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B40" w:rsidRPr="00EA6B40" w:rsidTr="00290559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EA6B40" w:rsidRDefault="00EA6B40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EA6B40" w:rsidRDefault="00EA6B40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EA6B40" w:rsidRDefault="00EA6B40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EA6B40" w:rsidRDefault="00EA6B40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EA6B40" w:rsidRDefault="00EA6B40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EA6B40" w:rsidRDefault="00EA6B40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40" w:rsidRPr="00EA6B40" w:rsidRDefault="00EA6B40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B40" w:rsidRPr="00EA6B40" w:rsidRDefault="00EA6B40" w:rsidP="009A69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D39FA" w:rsidRPr="00EA6B40" w:rsidTr="00290559">
        <w:trPr>
          <w:gridAfter w:val="1"/>
          <w:wAfter w:w="29" w:type="dxa"/>
          <w:trHeight w:hRule="exact" w:val="4110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A" w:rsidRPr="00EA6B40" w:rsidRDefault="00CD39FA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A" w:rsidRPr="00EA6B40" w:rsidRDefault="00CD39FA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 w:rsidR="00467F1E" w:rsidRPr="00EA6B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Расходы по уплате НДС в федеральный бюджет при зачислении в местный бюджет денежных средств от реализации муниципального имущества, передаче имущественных прав (право на заключение договоров на установку и эксплуатацию рекламных конструкций</w:t>
            </w:r>
            <w:r w:rsidR="00BF73B2" w:rsidRPr="00EA6B40">
              <w:rPr>
                <w:rFonts w:ascii="Times New Roman" w:hAnsi="Times New Roman" w:cs="Times New Roman"/>
                <w:sz w:val="26"/>
                <w:szCs w:val="26"/>
              </w:rPr>
              <w:t>, всего, из них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FA" w:rsidRPr="00EA6B40" w:rsidRDefault="00BF73B2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A6B40" w:rsidRDefault="00BF73B2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 w:rsidR="009606A5" w:rsidRPr="00EA6B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A6B40" w:rsidRDefault="00BF73B2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 w:rsidR="009606A5" w:rsidRPr="00EA6B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A6B40" w:rsidRDefault="00CD39FA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A6B40" w:rsidRDefault="00CD39FA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FA" w:rsidRPr="00EA6B40" w:rsidRDefault="0022712E" w:rsidP="0022712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12E">
              <w:rPr>
                <w:rFonts w:ascii="Times New Roman" w:hAnsi="Times New Roman" w:cs="Times New Roman"/>
                <w:sz w:val="26"/>
                <w:szCs w:val="26"/>
              </w:rPr>
              <w:t>объявлены торги по 6 объектам муниципального имущества, Торги по продаже состоялись по 1 объекту муниципального.  По другим объектам продажа не состоялась ввиду отсутствия заявок.</w:t>
            </w:r>
          </w:p>
        </w:tc>
      </w:tr>
      <w:tr w:rsidR="00BF73B2" w:rsidRPr="00EA6B40" w:rsidTr="00290559">
        <w:trPr>
          <w:gridAfter w:val="1"/>
          <w:wAfter w:w="29" w:type="dxa"/>
          <w:trHeight w:hRule="exact" w:val="50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2" w:rsidRPr="00EA6B40" w:rsidRDefault="00BF73B2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2" w:rsidRPr="00EA6B40" w:rsidRDefault="00BF73B2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B2" w:rsidRPr="00EA6B40" w:rsidRDefault="00BF73B2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B2" w:rsidRPr="00EA6B40" w:rsidRDefault="00BF73B2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 w:rsidR="009606A5" w:rsidRPr="00EA6B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B2" w:rsidRPr="00EA6B40" w:rsidRDefault="00BF73B2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 w:rsidR="009606A5" w:rsidRPr="00EA6B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B2" w:rsidRPr="00EA6B40" w:rsidRDefault="00BF73B2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B2" w:rsidRPr="00EA6B40" w:rsidRDefault="00BF73B2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3B2" w:rsidRPr="00EA6B40" w:rsidRDefault="0017316C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BF73B2" w:rsidRPr="00EA6B40" w:rsidTr="00290559">
        <w:trPr>
          <w:gridAfter w:val="1"/>
          <w:wAfter w:w="29" w:type="dxa"/>
          <w:trHeight w:hRule="exact" w:val="552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2" w:rsidRPr="00EA6B40" w:rsidRDefault="00BF73B2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2" w:rsidRPr="00EA6B40" w:rsidRDefault="00A71A7B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Мероприятие 19. Демонтаж</w:t>
            </w:r>
            <w:r w:rsidR="003A7454"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 нежилого здания, расположенного по адресу: г. Верхняя Салда, ул. </w:t>
            </w:r>
            <w:proofErr w:type="spellStart"/>
            <w:r w:rsidR="003A7454" w:rsidRPr="00EA6B40">
              <w:rPr>
                <w:rFonts w:ascii="Times New Roman" w:hAnsi="Times New Roman" w:cs="Times New Roman"/>
                <w:sz w:val="26"/>
                <w:szCs w:val="26"/>
              </w:rPr>
              <w:t>К.Либкнехта</w:t>
            </w:r>
            <w:proofErr w:type="spellEnd"/>
            <w:r w:rsidR="003A7454"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, д. 10-всего из них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B2" w:rsidRPr="00EA6B40" w:rsidRDefault="00A71A7B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B2" w:rsidRPr="00EA6B40" w:rsidRDefault="00A71A7B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B2" w:rsidRPr="00EA6B40" w:rsidRDefault="00A71A7B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B2" w:rsidRPr="00EA6B40" w:rsidRDefault="00BF73B2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B2" w:rsidRPr="00EA6B40" w:rsidRDefault="00BF73B2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3B2" w:rsidRPr="00EA6B40" w:rsidRDefault="0022712E" w:rsidP="002905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12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на демонтаж </w:t>
            </w:r>
            <w:proofErr w:type="gramStart"/>
            <w:r w:rsidRPr="0022712E">
              <w:rPr>
                <w:rFonts w:ascii="Times New Roman" w:hAnsi="Times New Roman" w:cs="Times New Roman"/>
                <w:sz w:val="26"/>
                <w:szCs w:val="26"/>
              </w:rPr>
              <w:t>выделены в августе 2017 года Освоение утверждённых бюджетных средств до конца 2017 года не представлялось</w:t>
            </w:r>
            <w:proofErr w:type="gramEnd"/>
            <w:r w:rsidRPr="0022712E">
              <w:rPr>
                <w:rFonts w:ascii="Times New Roman" w:hAnsi="Times New Roman" w:cs="Times New Roman"/>
                <w:sz w:val="26"/>
                <w:szCs w:val="26"/>
              </w:rPr>
              <w:t xml:space="preserve"> возможным, в связи с тем, что сроки проведения процедуры аукциона и сроки выполнения работ по демонтажу нежилого здания занимают продолжительное время.</w:t>
            </w:r>
          </w:p>
        </w:tc>
      </w:tr>
      <w:tr w:rsidR="00BF6BE9" w:rsidRPr="00EA6B40" w:rsidTr="00741540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E9" w:rsidRPr="00EA6B40" w:rsidRDefault="00BF6BE9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71A7B" w:rsidRPr="00EA6B40" w:rsidTr="00290559">
        <w:trPr>
          <w:gridAfter w:val="1"/>
          <w:wAfter w:w="29" w:type="dxa"/>
          <w:trHeight w:hRule="exact" w:val="86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B" w:rsidRPr="00EA6B40" w:rsidRDefault="00A71A7B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B" w:rsidRPr="00EA6B40" w:rsidRDefault="00A71A7B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7B" w:rsidRPr="00EA6B40" w:rsidRDefault="00A71A7B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EA6B40" w:rsidRDefault="00A71A7B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EA6B40" w:rsidRDefault="00A71A7B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EA6B40" w:rsidRDefault="00A71A7B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EA6B40" w:rsidRDefault="00A71A7B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7B" w:rsidRPr="00EA6B40" w:rsidRDefault="0017316C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00D63" w:rsidRPr="00EA6B40" w:rsidTr="00290559">
        <w:trPr>
          <w:gridAfter w:val="1"/>
          <w:wAfter w:w="29" w:type="dxa"/>
          <w:trHeight w:hRule="exact" w:val="742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63" w:rsidRPr="00EA6B40" w:rsidRDefault="00F00D63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D63" w:rsidRPr="00EA6B40" w:rsidRDefault="00F00D63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«Создание системы кадастра недвижимости </w:t>
            </w:r>
            <w:proofErr w:type="spellStart"/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Верхнесалдинского</w:t>
            </w:r>
            <w:proofErr w:type="spellEnd"/>
            <w:r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</w:t>
            </w:r>
          </w:p>
        </w:tc>
      </w:tr>
      <w:tr w:rsidR="00CD39FA" w:rsidRPr="00EA6B40" w:rsidTr="00290559">
        <w:trPr>
          <w:gridAfter w:val="1"/>
          <w:wAfter w:w="29" w:type="dxa"/>
          <w:trHeight w:hRule="exact" w:val="731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A" w:rsidRPr="00EA6B40" w:rsidRDefault="00CD39FA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A" w:rsidRPr="00EA6B40" w:rsidRDefault="00CD39FA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2, в том числе</w:t>
            </w:r>
          </w:p>
          <w:p w:rsidR="00CD39FA" w:rsidRPr="00EA6B40" w:rsidRDefault="00CD39FA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9FA" w:rsidRPr="00EA6B40" w:rsidRDefault="00CD39FA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FA" w:rsidRPr="00EA6B40" w:rsidRDefault="009606A5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A6B40" w:rsidRDefault="00CD39FA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FA" w:rsidRPr="00EA6B40" w:rsidRDefault="00CD39FA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FA" w:rsidRPr="00EA6B40" w:rsidRDefault="00EA6B40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606A5" w:rsidRPr="00EA6B40" w:rsidTr="00290559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5" w:rsidRPr="00EA6B40" w:rsidRDefault="009606A5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5" w:rsidRPr="00EA6B40" w:rsidRDefault="009606A5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A5" w:rsidRPr="00EA6B40" w:rsidRDefault="009606A5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6A5" w:rsidRPr="00EA6B40" w:rsidRDefault="00EA6B40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606A5" w:rsidRPr="00EA6B40" w:rsidTr="00290559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5" w:rsidRPr="00EA6B40" w:rsidRDefault="009606A5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5" w:rsidRPr="00EA6B40" w:rsidRDefault="009606A5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A5" w:rsidRPr="00EA6B40" w:rsidRDefault="009606A5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6A5" w:rsidRPr="00EA6B40" w:rsidRDefault="00EA6B40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606A5" w:rsidRPr="00EA6B40" w:rsidTr="00290559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5" w:rsidRPr="00EA6B40" w:rsidRDefault="009606A5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5" w:rsidRPr="00EA6B40" w:rsidRDefault="009606A5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A5" w:rsidRPr="00EA6B40" w:rsidRDefault="009606A5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6A5" w:rsidRPr="00EA6B40" w:rsidRDefault="00EA6B40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71A7B" w:rsidRPr="00EA6B40" w:rsidTr="00290559">
        <w:trPr>
          <w:gridAfter w:val="1"/>
          <w:wAfter w:w="29" w:type="dxa"/>
          <w:trHeight w:val="418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B" w:rsidRPr="00EA6B40" w:rsidRDefault="00A71A7B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B" w:rsidRPr="00EA6B40" w:rsidRDefault="00467F1E" w:rsidP="00A916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Мероприятие 11</w:t>
            </w:r>
            <w:r w:rsidR="00A71A7B" w:rsidRPr="00EA6B40">
              <w:rPr>
                <w:rFonts w:ascii="Times New Roman" w:hAnsi="Times New Roman" w:cs="Times New Roman"/>
                <w:sz w:val="26"/>
                <w:szCs w:val="26"/>
              </w:rPr>
              <w:t>. Проведение кадастровых работ и государственного кадастрового учета в отношении земельных участков в целях оформления права муниципальной собственности либо в целях подгото</w:t>
            </w:r>
            <w:r w:rsidR="003A7454" w:rsidRPr="00EA6B40">
              <w:rPr>
                <w:rFonts w:ascii="Times New Roman" w:hAnsi="Times New Roman" w:cs="Times New Roman"/>
                <w:sz w:val="26"/>
                <w:szCs w:val="26"/>
              </w:rPr>
              <w:t>вки к предоставлению земельных у</w:t>
            </w:r>
            <w:r w:rsidR="00A71A7B"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частков на торгах, а так же в целях реализации Закона Свердловской области от 07.07.2004 № 18 ОЗ «Об особенностях регулирования земельных отношений </w:t>
            </w:r>
            <w:proofErr w:type="gramStart"/>
            <w:r w:rsidR="00A71A7B" w:rsidRPr="00EA6B4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A71A7B"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7B" w:rsidRPr="00EA6B40" w:rsidRDefault="009606A5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94,5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EA6B40" w:rsidRDefault="00A71A7B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B" w:rsidRPr="00EA6B40" w:rsidRDefault="00A71A7B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A7B" w:rsidRPr="00EA6B40" w:rsidRDefault="00A91647" w:rsidP="00A9164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заключены 4 договора на кадастровые работы в отношении 11 земельных участков на общую сумму 75,0 тысяч рублей, из них выполнены работы на общую сумму 67,9 тысяч рублей, один из договоров </w:t>
            </w:r>
            <w:proofErr w:type="gramStart"/>
            <w:r w:rsidRPr="00A91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был</w:t>
            </w:r>
            <w:proofErr w:type="gramEnd"/>
            <w:r w:rsidRPr="00A91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расторгнут частично на сумму 7,0 тыс. рублей в отношении 1 объекта в силу положений закона</w:t>
            </w:r>
          </w:p>
        </w:tc>
      </w:tr>
      <w:tr w:rsidR="00A91647" w:rsidRPr="00EA6B40" w:rsidTr="00741540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91647" w:rsidRPr="00EA6B40" w:rsidTr="00741540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территории Свердловской области»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6A5" w:rsidRPr="00EA6B40" w:rsidTr="00290559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5" w:rsidRPr="00EA6B40" w:rsidRDefault="009606A5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A5" w:rsidRPr="00EA6B40" w:rsidRDefault="009606A5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A5" w:rsidRPr="00EA6B40" w:rsidRDefault="009606A5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94,5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6A5" w:rsidRPr="00EA6B40" w:rsidRDefault="009606A5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90559" w:rsidRPr="00EA6B40" w:rsidTr="00290559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Мероприятие 12. Проведение рыночной оценки годовой арендной платы на земельные участки или проведение оценки рыночной стоимости земельных участков в целях предоставления земельных участков на торга</w:t>
            </w:r>
            <w:proofErr w:type="gramStart"/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х-</w:t>
            </w:r>
            <w:proofErr w:type="gramEnd"/>
            <w:r w:rsidRPr="00EA6B40">
              <w:rPr>
                <w:rFonts w:ascii="Times New Roman" w:hAnsi="Times New Roman" w:cs="Times New Roman"/>
                <w:sz w:val="26"/>
                <w:szCs w:val="26"/>
              </w:rPr>
              <w:t xml:space="preserve">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647" w:rsidRPr="00A91647" w:rsidRDefault="00A91647" w:rsidP="00A916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16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заключены 2 договора на проведение рыночной оценки годовой арендной платы за земельные участки в отношении 5 объектов на общую сумму 25,0 тыс. рублей и 2 договора на проведение оценки рыночной стоимости земельных участков в целях предоставления их на торгах в отношении 5 объектов на общую сумму 25,0 тыс. рублей. В 2017 году состоялось 11 аукционов, заключены 5 договоров купли-продажи земельных участков и 4 договора аренды земельных участков.  </w:t>
            </w:r>
          </w:p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647" w:rsidRPr="00EA6B40" w:rsidTr="00741540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647" w:rsidRPr="00EA6B40" w:rsidRDefault="00A91647" w:rsidP="0074154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90559" w:rsidRPr="00EA6B40" w:rsidTr="00290559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90559" w:rsidRPr="00EA6B40" w:rsidTr="00290559">
        <w:trPr>
          <w:gridAfter w:val="1"/>
          <w:wAfter w:w="29" w:type="dxa"/>
          <w:trHeight w:val="504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559" w:rsidRPr="00EA6B40" w:rsidRDefault="0029055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Подпрограмма 3. Обеспечивающая подпрограмма</w:t>
            </w:r>
          </w:p>
        </w:tc>
      </w:tr>
      <w:tr w:rsidR="00290559" w:rsidRPr="00EA6B40" w:rsidTr="00290559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3,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sz w:val="26"/>
                <w:szCs w:val="26"/>
              </w:rPr>
              <w:t>6117,0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6074,1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99,3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90559" w:rsidRPr="00EA6B40" w:rsidTr="00290559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sz w:val="26"/>
                <w:szCs w:val="26"/>
              </w:rPr>
              <w:t>6117,0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6074,1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99,3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90559" w:rsidRPr="00EA6B40" w:rsidTr="00290559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sz w:val="26"/>
                <w:szCs w:val="26"/>
              </w:rPr>
              <w:t>6117,0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6074,1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99,3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90559" w:rsidRPr="00EA6B40" w:rsidTr="00290559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sz w:val="26"/>
                <w:szCs w:val="26"/>
              </w:rPr>
              <w:t>6117,0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6074,1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99,3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90559" w:rsidRPr="00EA6B40" w:rsidTr="00290559">
        <w:trPr>
          <w:gridAfter w:val="1"/>
          <w:wAfter w:w="29" w:type="dxa"/>
          <w:trHeight w:val="1919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Мероприятие 15. Обеспечение деятельности органов местного самоуправления (центрального аппарата) –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5565,6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5522,9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99,2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90559" w:rsidRPr="00EA6B40" w:rsidTr="00290559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5565,6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5522,9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99,2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90559" w:rsidRPr="00EA6B40" w:rsidTr="00290559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Мероприятие 18. Выплата пенсии за выслугу лет гражданам, замещавшим муниципальные должности на постоянной основе и должности муниципальной службы – всего, из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290559" w:rsidRPr="00EA6B40" w:rsidTr="00290559">
        <w:trPr>
          <w:gridAfter w:val="1"/>
          <w:wAfter w:w="29" w:type="dxa"/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9" w:rsidRPr="00EA6B40" w:rsidRDefault="00290559" w:rsidP="00EA6B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551,2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9" w:rsidRPr="00EA6B40" w:rsidRDefault="00290559" w:rsidP="00924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559" w:rsidRPr="00EA6B40" w:rsidRDefault="00290559" w:rsidP="0092410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B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A34375" w:rsidRPr="00E84B90" w:rsidRDefault="00A34375" w:rsidP="00E84B9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A34375" w:rsidRPr="00E84B90" w:rsidSect="00290559">
      <w:headerReference w:type="default" r:id="rId9"/>
      <w:pgSz w:w="16838" w:h="11906" w:orient="landscape"/>
      <w:pgMar w:top="2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A2" w:rsidRDefault="000825A2" w:rsidP="008303D1">
      <w:pPr>
        <w:spacing w:after="0" w:line="240" w:lineRule="auto"/>
      </w:pPr>
      <w:r>
        <w:separator/>
      </w:r>
    </w:p>
  </w:endnote>
  <w:endnote w:type="continuationSeparator" w:id="0">
    <w:p w:rsidR="000825A2" w:rsidRDefault="000825A2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A2" w:rsidRDefault="000825A2" w:rsidP="008303D1">
      <w:pPr>
        <w:spacing w:after="0" w:line="240" w:lineRule="auto"/>
      </w:pPr>
      <w:r>
        <w:separator/>
      </w:r>
    </w:p>
  </w:footnote>
  <w:footnote w:type="continuationSeparator" w:id="0">
    <w:p w:rsidR="000825A2" w:rsidRDefault="000825A2" w:rsidP="0083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59" w:rsidRPr="00290559" w:rsidRDefault="00290559" w:rsidP="00290559">
    <w:pPr>
      <w:pStyle w:val="a5"/>
      <w:ind w:firstLine="70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AFB"/>
    <w:rsid w:val="00001884"/>
    <w:rsid w:val="00010744"/>
    <w:rsid w:val="00020D85"/>
    <w:rsid w:val="00021F83"/>
    <w:rsid w:val="00063EF3"/>
    <w:rsid w:val="00077CF7"/>
    <w:rsid w:val="000825A2"/>
    <w:rsid w:val="0008688A"/>
    <w:rsid w:val="00092E0E"/>
    <w:rsid w:val="00096DB7"/>
    <w:rsid w:val="000B3391"/>
    <w:rsid w:val="000D55D7"/>
    <w:rsid w:val="000F030D"/>
    <w:rsid w:val="001026A6"/>
    <w:rsid w:val="00107352"/>
    <w:rsid w:val="00171B07"/>
    <w:rsid w:val="0017316C"/>
    <w:rsid w:val="001734B9"/>
    <w:rsid w:val="0018005F"/>
    <w:rsid w:val="001927B3"/>
    <w:rsid w:val="0019419D"/>
    <w:rsid w:val="001B4949"/>
    <w:rsid w:val="001B52C8"/>
    <w:rsid w:val="001B5F75"/>
    <w:rsid w:val="001C6C64"/>
    <w:rsid w:val="001E46C9"/>
    <w:rsid w:val="001E7028"/>
    <w:rsid w:val="001E7B1B"/>
    <w:rsid w:val="001F34DC"/>
    <w:rsid w:val="0021116C"/>
    <w:rsid w:val="00224054"/>
    <w:rsid w:val="002252CC"/>
    <w:rsid w:val="0022712E"/>
    <w:rsid w:val="00243EE3"/>
    <w:rsid w:val="00253D4A"/>
    <w:rsid w:val="00260259"/>
    <w:rsid w:val="0026381B"/>
    <w:rsid w:val="0026489A"/>
    <w:rsid w:val="00274C6C"/>
    <w:rsid w:val="00290559"/>
    <w:rsid w:val="00291F28"/>
    <w:rsid w:val="002941EB"/>
    <w:rsid w:val="002A1BE8"/>
    <w:rsid w:val="002C7839"/>
    <w:rsid w:val="002D49F2"/>
    <w:rsid w:val="002D6D9F"/>
    <w:rsid w:val="002E04F3"/>
    <w:rsid w:val="002F15C7"/>
    <w:rsid w:val="002F3038"/>
    <w:rsid w:val="002F461A"/>
    <w:rsid w:val="002F4CEE"/>
    <w:rsid w:val="00303CEA"/>
    <w:rsid w:val="00313B34"/>
    <w:rsid w:val="0031426F"/>
    <w:rsid w:val="003204D9"/>
    <w:rsid w:val="003233B0"/>
    <w:rsid w:val="003261F4"/>
    <w:rsid w:val="003544EA"/>
    <w:rsid w:val="003A3DF2"/>
    <w:rsid w:val="003A7454"/>
    <w:rsid w:val="003B7D53"/>
    <w:rsid w:val="003E5768"/>
    <w:rsid w:val="004148E8"/>
    <w:rsid w:val="00434DA1"/>
    <w:rsid w:val="00446497"/>
    <w:rsid w:val="0045016B"/>
    <w:rsid w:val="00454705"/>
    <w:rsid w:val="00467F1E"/>
    <w:rsid w:val="00470460"/>
    <w:rsid w:val="0047151B"/>
    <w:rsid w:val="00497662"/>
    <w:rsid w:val="004979B7"/>
    <w:rsid w:val="004B4C99"/>
    <w:rsid w:val="004C111B"/>
    <w:rsid w:val="004C4FC3"/>
    <w:rsid w:val="004E48A0"/>
    <w:rsid w:val="00500904"/>
    <w:rsid w:val="00505FFE"/>
    <w:rsid w:val="00511DA1"/>
    <w:rsid w:val="00522131"/>
    <w:rsid w:val="00536649"/>
    <w:rsid w:val="00541B13"/>
    <w:rsid w:val="00552060"/>
    <w:rsid w:val="005855DD"/>
    <w:rsid w:val="00585977"/>
    <w:rsid w:val="005C6D92"/>
    <w:rsid w:val="005E1085"/>
    <w:rsid w:val="005E1DD6"/>
    <w:rsid w:val="005E45FF"/>
    <w:rsid w:val="005E7D26"/>
    <w:rsid w:val="00600417"/>
    <w:rsid w:val="00612D43"/>
    <w:rsid w:val="00624462"/>
    <w:rsid w:val="006259C8"/>
    <w:rsid w:val="00632EB3"/>
    <w:rsid w:val="00635A14"/>
    <w:rsid w:val="00635DC7"/>
    <w:rsid w:val="006360EF"/>
    <w:rsid w:val="0063740D"/>
    <w:rsid w:val="00653554"/>
    <w:rsid w:val="00687628"/>
    <w:rsid w:val="00691ECF"/>
    <w:rsid w:val="006963AE"/>
    <w:rsid w:val="006A5028"/>
    <w:rsid w:val="006C04FF"/>
    <w:rsid w:val="006C3491"/>
    <w:rsid w:val="006C44E8"/>
    <w:rsid w:val="006E6F93"/>
    <w:rsid w:val="007016DA"/>
    <w:rsid w:val="0071041C"/>
    <w:rsid w:val="0072004C"/>
    <w:rsid w:val="00731B3B"/>
    <w:rsid w:val="0078674F"/>
    <w:rsid w:val="00794BED"/>
    <w:rsid w:val="007E019C"/>
    <w:rsid w:val="007F76AA"/>
    <w:rsid w:val="0082262E"/>
    <w:rsid w:val="00824810"/>
    <w:rsid w:val="008303D1"/>
    <w:rsid w:val="00835324"/>
    <w:rsid w:val="00855DCB"/>
    <w:rsid w:val="00860EC6"/>
    <w:rsid w:val="008616C5"/>
    <w:rsid w:val="00864629"/>
    <w:rsid w:val="00864A99"/>
    <w:rsid w:val="008658FF"/>
    <w:rsid w:val="00870A8E"/>
    <w:rsid w:val="008737C1"/>
    <w:rsid w:val="008743FA"/>
    <w:rsid w:val="008A44E0"/>
    <w:rsid w:val="008A666F"/>
    <w:rsid w:val="008B76ED"/>
    <w:rsid w:val="008C0CE4"/>
    <w:rsid w:val="008C710B"/>
    <w:rsid w:val="008E2039"/>
    <w:rsid w:val="008F31C9"/>
    <w:rsid w:val="00907625"/>
    <w:rsid w:val="0091739F"/>
    <w:rsid w:val="0092410F"/>
    <w:rsid w:val="009320BB"/>
    <w:rsid w:val="009606A5"/>
    <w:rsid w:val="00960CE2"/>
    <w:rsid w:val="00967C6D"/>
    <w:rsid w:val="00970101"/>
    <w:rsid w:val="009741CD"/>
    <w:rsid w:val="00984039"/>
    <w:rsid w:val="009846B2"/>
    <w:rsid w:val="00993F1B"/>
    <w:rsid w:val="009A6969"/>
    <w:rsid w:val="009C5F89"/>
    <w:rsid w:val="009F0D25"/>
    <w:rsid w:val="00A14D08"/>
    <w:rsid w:val="00A15475"/>
    <w:rsid w:val="00A22E59"/>
    <w:rsid w:val="00A34375"/>
    <w:rsid w:val="00A50FBA"/>
    <w:rsid w:val="00A56143"/>
    <w:rsid w:val="00A71A7B"/>
    <w:rsid w:val="00A74026"/>
    <w:rsid w:val="00A77633"/>
    <w:rsid w:val="00A85255"/>
    <w:rsid w:val="00A91647"/>
    <w:rsid w:val="00AE14F4"/>
    <w:rsid w:val="00B3692D"/>
    <w:rsid w:val="00B45CF6"/>
    <w:rsid w:val="00B52140"/>
    <w:rsid w:val="00B670C7"/>
    <w:rsid w:val="00BD2D2F"/>
    <w:rsid w:val="00BE0E92"/>
    <w:rsid w:val="00BF6BE9"/>
    <w:rsid w:val="00BF73B2"/>
    <w:rsid w:val="00C237FF"/>
    <w:rsid w:val="00C363AC"/>
    <w:rsid w:val="00C72E52"/>
    <w:rsid w:val="00C73CEF"/>
    <w:rsid w:val="00C76F71"/>
    <w:rsid w:val="00C770A7"/>
    <w:rsid w:val="00C82C07"/>
    <w:rsid w:val="00C85836"/>
    <w:rsid w:val="00C86321"/>
    <w:rsid w:val="00CA1152"/>
    <w:rsid w:val="00CA50A5"/>
    <w:rsid w:val="00CA6B56"/>
    <w:rsid w:val="00CB008F"/>
    <w:rsid w:val="00CB6AFB"/>
    <w:rsid w:val="00CC3356"/>
    <w:rsid w:val="00CC5C37"/>
    <w:rsid w:val="00CD39FA"/>
    <w:rsid w:val="00CD47DD"/>
    <w:rsid w:val="00CF41D1"/>
    <w:rsid w:val="00D310F5"/>
    <w:rsid w:val="00D316C1"/>
    <w:rsid w:val="00D40A5A"/>
    <w:rsid w:val="00D43EA1"/>
    <w:rsid w:val="00D962A0"/>
    <w:rsid w:val="00DA529F"/>
    <w:rsid w:val="00DA709A"/>
    <w:rsid w:val="00DC20D6"/>
    <w:rsid w:val="00DE76D1"/>
    <w:rsid w:val="00E15BD0"/>
    <w:rsid w:val="00E310B6"/>
    <w:rsid w:val="00E414FB"/>
    <w:rsid w:val="00E57C08"/>
    <w:rsid w:val="00E62C56"/>
    <w:rsid w:val="00E66111"/>
    <w:rsid w:val="00E71924"/>
    <w:rsid w:val="00E75685"/>
    <w:rsid w:val="00E80DC3"/>
    <w:rsid w:val="00E84B90"/>
    <w:rsid w:val="00E97567"/>
    <w:rsid w:val="00EA5021"/>
    <w:rsid w:val="00EA69E1"/>
    <w:rsid w:val="00EA6B40"/>
    <w:rsid w:val="00EB1C55"/>
    <w:rsid w:val="00EC0FA1"/>
    <w:rsid w:val="00EC36AC"/>
    <w:rsid w:val="00EE63E7"/>
    <w:rsid w:val="00F00D63"/>
    <w:rsid w:val="00F0498B"/>
    <w:rsid w:val="00F109EC"/>
    <w:rsid w:val="00F11038"/>
    <w:rsid w:val="00F133EE"/>
    <w:rsid w:val="00F1629C"/>
    <w:rsid w:val="00F2132D"/>
    <w:rsid w:val="00F22EDA"/>
    <w:rsid w:val="00F326B9"/>
    <w:rsid w:val="00F63D40"/>
    <w:rsid w:val="00FB0E42"/>
    <w:rsid w:val="00FB63B7"/>
    <w:rsid w:val="00FB690D"/>
    <w:rsid w:val="00FC13DC"/>
    <w:rsid w:val="00FD0884"/>
    <w:rsid w:val="00FE5980"/>
    <w:rsid w:val="00FF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paragraph" w:styleId="1">
    <w:name w:val="heading 1"/>
    <w:basedOn w:val="a"/>
    <w:next w:val="a"/>
    <w:link w:val="10"/>
    <w:uiPriority w:val="9"/>
    <w:qFormat/>
    <w:rsid w:val="00585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character" w:customStyle="1" w:styleId="10">
    <w:name w:val="Заголовок 1 Знак"/>
    <w:basedOn w:val="a0"/>
    <w:link w:val="1"/>
    <w:uiPriority w:val="9"/>
    <w:rsid w:val="005859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5859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859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859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7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3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286F-0977-4EC1-BEE0-94F76D34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2018-01-29T07:53:00Z</cp:lastPrinted>
  <dcterms:created xsi:type="dcterms:W3CDTF">2002-01-01T02:45:00Z</dcterms:created>
  <dcterms:modified xsi:type="dcterms:W3CDTF">2018-01-29T09:04:00Z</dcterms:modified>
</cp:coreProperties>
</file>