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A" w:rsidRPr="00D03FEA" w:rsidRDefault="00CA11B0" w:rsidP="00D03FEA">
      <w:pPr>
        <w:pStyle w:val="a4"/>
        <w:jc w:val="center"/>
        <w:rPr>
          <w:b/>
          <w:bCs/>
          <w:u w:val="single"/>
        </w:rPr>
      </w:pPr>
      <w:r w:rsidRPr="00D03FEA">
        <w:rPr>
          <w:b/>
          <w:bCs/>
          <w:u w:val="single"/>
        </w:rPr>
        <w:t xml:space="preserve">Основные параметры ипотечного продукта, </w:t>
      </w:r>
    </w:p>
    <w:p w:rsidR="00711C11" w:rsidRDefault="00CA11B0" w:rsidP="00D03FEA">
      <w:pPr>
        <w:pStyle w:val="a4"/>
        <w:jc w:val="center"/>
        <w:rPr>
          <w:b/>
          <w:bCs/>
        </w:rPr>
      </w:pPr>
      <w:r>
        <w:rPr>
          <w:b/>
          <w:bCs/>
        </w:rPr>
        <w:t>предлагаемого ОАО «С</w:t>
      </w:r>
      <w:r w:rsidR="00711C11">
        <w:rPr>
          <w:b/>
          <w:bCs/>
        </w:rPr>
        <w:t xml:space="preserve">вердловское агентство ипотечного жилищного кредитования» </w:t>
      </w:r>
      <w:r>
        <w:rPr>
          <w:b/>
          <w:bCs/>
        </w:rPr>
        <w:t xml:space="preserve"> </w:t>
      </w:r>
    </w:p>
    <w:p w:rsidR="00CA11B0" w:rsidRDefault="00CA11B0" w:rsidP="00D03FEA">
      <w:pPr>
        <w:pStyle w:val="a4"/>
        <w:jc w:val="center"/>
        <w:rPr>
          <w:b/>
          <w:bCs/>
        </w:rPr>
      </w:pPr>
      <w:r>
        <w:rPr>
          <w:b/>
          <w:bCs/>
        </w:rPr>
        <w:t>гражданам – участникам программы «Жилье для Российской семьи»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769"/>
      </w:tblGrid>
      <w:tr w:rsidR="00D03FEA" w:rsidTr="00D03FEA">
        <w:tc>
          <w:tcPr>
            <w:tcW w:w="3227" w:type="dxa"/>
          </w:tcPr>
          <w:p w:rsidR="00D03FEA" w:rsidRPr="00D03FEA" w:rsidRDefault="00D03FEA" w:rsidP="00D03FEA">
            <w:pPr>
              <w:pStyle w:val="a4"/>
              <w:spacing w:line="140" w:lineRule="atLeast"/>
              <w:rPr>
                <w:b/>
                <w:bCs/>
              </w:rPr>
            </w:pPr>
            <w:r>
              <w:rPr>
                <w:b/>
                <w:bCs/>
              </w:rPr>
              <w:t>Ставка</w:t>
            </w:r>
          </w:p>
        </w:tc>
        <w:tc>
          <w:tcPr>
            <w:tcW w:w="6769" w:type="dxa"/>
          </w:tcPr>
          <w:p w:rsidR="00D03FEA" w:rsidRDefault="00D03FEA" w:rsidP="001C1F5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1C1F53">
              <w:rPr>
                <w:bCs/>
              </w:rPr>
              <w:t xml:space="preserve">от </w:t>
            </w:r>
            <w:r w:rsidRPr="00CA11B0">
              <w:rPr>
                <w:bCs/>
              </w:rPr>
              <w:t>10,</w:t>
            </w:r>
            <w:r w:rsidR="005501F9">
              <w:rPr>
                <w:bCs/>
              </w:rPr>
              <w:t>3</w:t>
            </w:r>
            <w:r w:rsidRPr="00CA11B0">
              <w:rPr>
                <w:bCs/>
              </w:rPr>
              <w:t xml:space="preserve"> %</w:t>
            </w:r>
            <w:r>
              <w:rPr>
                <w:bCs/>
              </w:rPr>
              <w:t xml:space="preserve"> до</w:t>
            </w:r>
            <w:r w:rsidRPr="00CA11B0">
              <w:rPr>
                <w:bCs/>
              </w:rPr>
              <w:t xml:space="preserve"> 11,</w:t>
            </w:r>
            <w:r w:rsidR="005501F9">
              <w:rPr>
                <w:bCs/>
              </w:rPr>
              <w:t>1</w:t>
            </w:r>
            <w:r w:rsidRPr="00CA11B0">
              <w:rPr>
                <w:bCs/>
              </w:rPr>
              <w:t>5%</w:t>
            </w:r>
          </w:p>
          <w:p w:rsidR="001C1F53" w:rsidRPr="00D03FEA" w:rsidRDefault="001C1F53" w:rsidP="001C1F53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  <w:tr w:rsidR="00D03FEA" w:rsidTr="00D03FEA">
        <w:tc>
          <w:tcPr>
            <w:tcW w:w="3227" w:type="dxa"/>
          </w:tcPr>
          <w:p w:rsidR="00D03FEA" w:rsidRPr="00D03FEA" w:rsidRDefault="00D03FEA" w:rsidP="00D03FEA">
            <w:pPr>
              <w:pStyle w:val="a4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  <w:r>
              <w:rPr>
                <w:bCs/>
              </w:rPr>
              <w:tab/>
            </w:r>
          </w:p>
        </w:tc>
        <w:tc>
          <w:tcPr>
            <w:tcW w:w="6769" w:type="dxa"/>
          </w:tcPr>
          <w:p w:rsidR="00D03FEA" w:rsidRDefault="00D03FEA" w:rsidP="001C1F53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711C11">
              <w:rPr>
                <w:rFonts w:ascii="Times New Roman" w:hAnsi="Times New Roman" w:cs="Times New Roman"/>
                <w:bCs/>
              </w:rPr>
              <w:t xml:space="preserve">от 3 до 30 лет  </w:t>
            </w:r>
          </w:p>
          <w:p w:rsidR="00D03FEA" w:rsidRPr="00711C11" w:rsidRDefault="00D03FEA" w:rsidP="001C1F53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711C11">
              <w:rPr>
                <w:rFonts w:ascii="Times New Roman" w:hAnsi="Times New Roman" w:cs="Times New Roman"/>
                <w:bCs/>
              </w:rPr>
              <w:t xml:space="preserve">(на момент полного гашения ипотечного </w:t>
            </w:r>
            <w:r>
              <w:rPr>
                <w:rFonts w:ascii="Times New Roman" w:hAnsi="Times New Roman" w:cs="Times New Roman"/>
                <w:bCs/>
              </w:rPr>
              <w:t>займа</w:t>
            </w:r>
            <w:r w:rsidRPr="00711C11">
              <w:rPr>
                <w:rFonts w:ascii="Times New Roman" w:hAnsi="Times New Roman" w:cs="Times New Roman"/>
                <w:bCs/>
              </w:rPr>
              <w:t xml:space="preserve"> возраст </w:t>
            </w:r>
            <w:proofErr w:type="gramEnd"/>
          </w:p>
          <w:p w:rsidR="00D03FEA" w:rsidRDefault="00D03FEA" w:rsidP="001C1F53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711C11">
              <w:rPr>
                <w:rFonts w:ascii="Times New Roman" w:hAnsi="Times New Roman" w:cs="Times New Roman"/>
                <w:bCs/>
              </w:rPr>
              <w:t>заемщика не должен превышать 65 лет)</w:t>
            </w:r>
          </w:p>
          <w:p w:rsidR="001C1F53" w:rsidRPr="00D03FEA" w:rsidRDefault="001C1F53" w:rsidP="001C1F53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D03FEA" w:rsidTr="00D03FEA">
        <w:tc>
          <w:tcPr>
            <w:tcW w:w="3227" w:type="dxa"/>
          </w:tcPr>
          <w:p w:rsidR="00D03FEA" w:rsidRDefault="001C1F53" w:rsidP="001C1F5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Первоначальный взнос</w:t>
            </w:r>
            <w:r w:rsidR="00D03FEA">
              <w:rPr>
                <w:bCs/>
              </w:rPr>
              <w:tab/>
            </w:r>
          </w:p>
        </w:tc>
        <w:tc>
          <w:tcPr>
            <w:tcW w:w="6769" w:type="dxa"/>
          </w:tcPr>
          <w:p w:rsidR="001C1F53" w:rsidRDefault="00D03FEA" w:rsidP="001C1F53">
            <w:pPr>
              <w:ind w:left="2835" w:hanging="2835"/>
              <w:jc w:val="both"/>
              <w:rPr>
                <w:rFonts w:ascii="Times New Roman" w:hAnsi="Times New Roman" w:cs="Times New Roman"/>
                <w:bCs/>
              </w:rPr>
            </w:pPr>
            <w:r w:rsidRPr="00711C11">
              <w:rPr>
                <w:rFonts w:ascii="Times New Roman" w:hAnsi="Times New Roman" w:cs="Times New Roman"/>
                <w:bCs/>
              </w:rPr>
              <w:t>от 10% от стоимости приобретаемой недвижимости</w:t>
            </w:r>
          </w:p>
          <w:p w:rsidR="00D03FEA" w:rsidRDefault="00D03FEA" w:rsidP="001C1F53">
            <w:pPr>
              <w:jc w:val="both"/>
              <w:rPr>
                <w:bCs/>
              </w:rPr>
            </w:pPr>
            <w:r w:rsidRPr="00711C11">
              <w:rPr>
                <w:rFonts w:ascii="Times New Roman" w:hAnsi="Times New Roman" w:cs="Times New Roman"/>
                <w:bCs/>
              </w:rPr>
              <w:t xml:space="preserve"> (при наличии средств субсидий собственные средства заемщика должны составлять не менее 5% от стоимости предмета ипотеки)</w:t>
            </w:r>
          </w:p>
          <w:p w:rsidR="00D03FEA" w:rsidRDefault="00D03FEA" w:rsidP="001C1F5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</w:tc>
      </w:tr>
      <w:tr w:rsidR="009820F3" w:rsidTr="00D03FEA">
        <w:tc>
          <w:tcPr>
            <w:tcW w:w="3227" w:type="dxa"/>
          </w:tcPr>
          <w:p w:rsidR="009820F3" w:rsidRDefault="009820F3" w:rsidP="001C1F5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займа</w:t>
            </w:r>
          </w:p>
          <w:p w:rsidR="007E6A55" w:rsidRDefault="007E6A55" w:rsidP="001C1F53">
            <w:pPr>
              <w:pStyle w:val="a4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6769" w:type="dxa"/>
          </w:tcPr>
          <w:p w:rsidR="009820F3" w:rsidRPr="00711C11" w:rsidRDefault="009820F3" w:rsidP="009820F3">
            <w:pPr>
              <w:ind w:left="2835" w:hanging="283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300 000 руб. до 3000 000 руб.</w:t>
            </w:r>
          </w:p>
        </w:tc>
      </w:tr>
    </w:tbl>
    <w:p w:rsidR="00711C11" w:rsidRDefault="00711C11" w:rsidP="001C1F53">
      <w:pPr>
        <w:pStyle w:val="a4"/>
        <w:spacing w:before="0" w:beforeAutospacing="0" w:after="0" w:afterAutospacing="0" w:line="240" w:lineRule="atLeast"/>
        <w:jc w:val="both"/>
        <w:rPr>
          <w:b/>
          <w:bCs/>
        </w:rPr>
      </w:pPr>
    </w:p>
    <w:p w:rsidR="00CA11B0" w:rsidRPr="00CA11B0" w:rsidRDefault="00CA11B0" w:rsidP="001C1F53">
      <w:pPr>
        <w:pStyle w:val="a4"/>
        <w:jc w:val="center"/>
        <w:rPr>
          <w:b/>
          <w:bCs/>
        </w:rPr>
      </w:pPr>
      <w:r w:rsidRPr="00CA11B0">
        <w:rPr>
          <w:b/>
          <w:bCs/>
        </w:rPr>
        <w:t>Категории</w:t>
      </w:r>
      <w:r w:rsidR="001C1F53">
        <w:rPr>
          <w:b/>
          <w:bCs/>
        </w:rPr>
        <w:t xml:space="preserve"> граждан – участников Программы</w:t>
      </w:r>
    </w:p>
    <w:p w:rsidR="00D47B85" w:rsidRDefault="00D47B85" w:rsidP="00D47B85">
      <w:pPr>
        <w:pStyle w:val="a4"/>
        <w:jc w:val="both"/>
      </w:pPr>
      <w:r>
        <w:t>1) граждане, имеющие обеспеченность общей площадью жилых помещений в расчете на гражданина и каждого проживающего совместно с ним члена его семьи в размере не более 18 кв. метров или не более 32 кв. метров на одиноко проживающего гражданина, в случае, если доходы гражданина и указанных членов его семьи и стоимость имущества, находящегося в собственности гражданина и (или) членов его семьи и подлежащего налогообложению, не превышают расчетных  показателей *;</w:t>
      </w:r>
    </w:p>
    <w:p w:rsidR="00D47B85" w:rsidRDefault="00D47B85" w:rsidP="00D47B85">
      <w:pPr>
        <w:pStyle w:val="a4"/>
        <w:jc w:val="both"/>
      </w:pPr>
      <w:r>
        <w:t>2) 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D47B85" w:rsidRDefault="00D47B85" w:rsidP="00D47B85">
      <w:pPr>
        <w:pStyle w:val="a4"/>
        <w:jc w:val="both"/>
      </w:pPr>
      <w:r>
        <w:t>3) граждане, имеющие трех и более детей;</w:t>
      </w:r>
    </w:p>
    <w:p w:rsidR="00D47B85" w:rsidRDefault="00D47B85" w:rsidP="00D47B85">
      <w:pPr>
        <w:pStyle w:val="a4"/>
        <w:jc w:val="both"/>
      </w:pPr>
      <w:r>
        <w:t>4) граждане, являющиеся ветеранами боевых действий;</w:t>
      </w:r>
    </w:p>
    <w:p w:rsidR="00D47B85" w:rsidRDefault="00D47B85" w:rsidP="00D47B85">
      <w:pPr>
        <w:pStyle w:val="a4"/>
        <w:jc w:val="both"/>
      </w:pPr>
      <w:r>
        <w:t>5) граждане, являющиеся инвалидами и семьями, имеющими детей-инвалидов;</w:t>
      </w:r>
    </w:p>
    <w:p w:rsidR="00D47B85" w:rsidRDefault="00D47B85" w:rsidP="00D47B85">
      <w:pPr>
        <w:pStyle w:val="a4"/>
        <w:jc w:val="both"/>
      </w:pPr>
      <w:r>
        <w:t>6) граждане, имеющие двух и более несовершеннолетних детей и являющиеся получателями материнского капитала в соответствии с Федеральным законом от 29 декабря 2006 года № 256</w:t>
      </w:r>
      <w:r>
        <w:noBreakHyphen/>
        <w:t>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D47B85" w:rsidRDefault="00D47B85" w:rsidP="00D47B85">
      <w:pPr>
        <w:pStyle w:val="a4"/>
        <w:jc w:val="both"/>
      </w:pPr>
      <w:proofErr w:type="gramStart"/>
      <w:r>
        <w:t>7) 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 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1C1F53" w:rsidRDefault="001C1F53" w:rsidP="00D47B85">
      <w:pPr>
        <w:pStyle w:val="a4"/>
        <w:jc w:val="both"/>
      </w:pPr>
    </w:p>
    <w:p w:rsidR="001C1F53" w:rsidRDefault="001C1F53" w:rsidP="00D47B85">
      <w:pPr>
        <w:pStyle w:val="a4"/>
        <w:jc w:val="both"/>
      </w:pPr>
    </w:p>
    <w:p w:rsidR="001C1F53" w:rsidRDefault="001C1F53" w:rsidP="00D47B85">
      <w:pPr>
        <w:pStyle w:val="a4"/>
        <w:jc w:val="both"/>
      </w:pPr>
    </w:p>
    <w:p w:rsidR="00D47B85" w:rsidRDefault="00D47B85" w:rsidP="00D47B85">
      <w:pPr>
        <w:pStyle w:val="a4"/>
        <w:jc w:val="both"/>
      </w:pPr>
      <w:proofErr w:type="gramStart"/>
      <w:r>
        <w:t>8) 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D47B85" w:rsidRDefault="00D47B85" w:rsidP="00D47B85">
      <w:pPr>
        <w:pStyle w:val="a4"/>
        <w:jc w:val="both"/>
      </w:pPr>
      <w:r>
        <w:t>9) 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D47B85" w:rsidRDefault="00D47B85" w:rsidP="00D47B85">
      <w:pPr>
        <w:pStyle w:val="a4"/>
        <w:jc w:val="both"/>
      </w:pPr>
      <w:r>
        <w:t>10) граждане </w:t>
      </w:r>
      <w:r w:rsidR="001C1F53">
        <w:t xml:space="preserve">- </w:t>
      </w:r>
      <w:r>
        <w:t xml:space="preserve">участники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военнослужащих;</w:t>
      </w:r>
    </w:p>
    <w:p w:rsidR="00D47B85" w:rsidRDefault="00D47B85" w:rsidP="00D47B85">
      <w:pPr>
        <w:pStyle w:val="a4"/>
        <w:jc w:val="both"/>
      </w:pPr>
      <w:r>
        <w:t>11) 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D47B85" w:rsidRDefault="00D47B85" w:rsidP="00D47B85">
      <w:pPr>
        <w:pStyle w:val="a4"/>
        <w:jc w:val="both"/>
      </w:pPr>
      <w:proofErr w:type="gramStart"/>
      <w:r>
        <w:t>12) 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D47B85" w:rsidRDefault="00D47B85" w:rsidP="00D47B85">
      <w:pPr>
        <w:pStyle w:val="a4"/>
        <w:jc w:val="both"/>
      </w:pPr>
      <w:r>
        <w:t xml:space="preserve">13) 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>
        <w:t>наукоградов</w:t>
      </w:r>
      <w:proofErr w:type="spellEnd"/>
      <w:r>
        <w:t>, независимо от организационно-правовой формы таких организаций, является основным местом работы;</w:t>
      </w:r>
    </w:p>
    <w:p w:rsidR="00D47B85" w:rsidRDefault="00D47B85" w:rsidP="00D47B85">
      <w:pPr>
        <w:pStyle w:val="a4"/>
        <w:jc w:val="both"/>
      </w:pPr>
      <w:r>
        <w:t>14) 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является основным местом работы;</w:t>
      </w:r>
    </w:p>
    <w:p w:rsidR="00D47B85" w:rsidRDefault="00D47B85" w:rsidP="00D47B85">
      <w:pPr>
        <w:pStyle w:val="a4"/>
        <w:jc w:val="both"/>
      </w:pPr>
      <w:r>
        <w:t>15) 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организаций, является основным местом работы;</w:t>
      </w:r>
    </w:p>
    <w:p w:rsidR="00D47B85" w:rsidRDefault="00D47B85" w:rsidP="00D47B85">
      <w:pPr>
        <w:pStyle w:val="a4"/>
        <w:jc w:val="both"/>
      </w:pPr>
      <w:r>
        <w:t>16) 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12, 13, 15 настоящего пункта, является основным местом работы;</w:t>
      </w:r>
    </w:p>
    <w:p w:rsidR="00D47B85" w:rsidRDefault="00D47B85" w:rsidP="00D47B85">
      <w:pPr>
        <w:pStyle w:val="a4"/>
        <w:jc w:val="both"/>
      </w:pPr>
      <w:proofErr w:type="gramStart"/>
      <w:r>
        <w:t>17) 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 июля 2011 года № 899 «Об утверждении приоритетных направлений развития науки, технологий и техники в Российской</w:t>
      </w:r>
      <w:proofErr w:type="gramEnd"/>
      <w:r>
        <w:t xml:space="preserve"> Федерации и перечня критических технологий Российской Федерации», и которые не указаны в </w:t>
      </w:r>
      <w:hyperlink r:id="rId6" w:anchor="Par1" w:history="1">
        <w:r w:rsidRPr="001C1F53">
          <w:rPr>
            <w:rStyle w:val="a3"/>
            <w:color w:val="auto"/>
            <w:u w:val="none"/>
          </w:rPr>
          <w:t>подпунктах 13–16</w:t>
        </w:r>
        <w:r w:rsidRPr="001C1F53">
          <w:rPr>
            <w:rStyle w:val="a3"/>
            <w:u w:val="none"/>
          </w:rPr>
          <w:t xml:space="preserve"> </w:t>
        </w:r>
      </w:hyperlink>
      <w:r>
        <w:t>настоящего пункта, является основным местом работы;</w:t>
      </w:r>
    </w:p>
    <w:p w:rsidR="001C1F53" w:rsidRDefault="001C1F53" w:rsidP="00D47B85">
      <w:pPr>
        <w:pStyle w:val="a4"/>
        <w:jc w:val="both"/>
      </w:pPr>
    </w:p>
    <w:p w:rsidR="001C1F53" w:rsidRDefault="001C1F53" w:rsidP="00D47B85">
      <w:pPr>
        <w:pStyle w:val="a4"/>
        <w:jc w:val="both"/>
      </w:pPr>
    </w:p>
    <w:p w:rsidR="00F2280C" w:rsidRDefault="00D47B85" w:rsidP="00711C11">
      <w:pPr>
        <w:pStyle w:val="a4"/>
        <w:jc w:val="both"/>
      </w:pPr>
      <w:proofErr w:type="gramStart"/>
      <w:r>
        <w:t>18) граждане, для которых работа в организациях —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 188 «Об утверждении Правил распределения и</w:t>
      </w:r>
      <w:proofErr w:type="gramEnd"/>
      <w:r>
        <w:t xml:space="preserve">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кластеров», является основным местом работы.</w:t>
      </w:r>
    </w:p>
    <w:p w:rsidR="009820F3" w:rsidRDefault="00D03FEA" w:rsidP="00761233">
      <w:pPr>
        <w:pStyle w:val="a4"/>
        <w:jc w:val="both"/>
        <w:rPr>
          <w:shd w:val="clear" w:color="auto" w:fill="FFFFFF"/>
        </w:rPr>
      </w:pPr>
      <w:r w:rsidRPr="00D03FEA">
        <w:rPr>
          <w:b/>
          <w:bCs/>
          <w:shd w:val="clear" w:color="auto" w:fill="FFFFFF"/>
        </w:rPr>
        <w:t>*</w:t>
      </w:r>
      <w:r w:rsidRPr="00D03FEA">
        <w:rPr>
          <w:shd w:val="clear" w:color="auto" w:fill="FFFFFF"/>
        </w:rPr>
        <w:t>Размер доходов и размер стоимости подлежащего налогообложению имущества граждан и (или) совместно проживающих с ними членов их семьи, определяются в порядке, установленном Законом Свердловской области от 22 июля 2005 года № 96</w:t>
      </w:r>
      <w:r w:rsidRPr="00D03FEA">
        <w:rPr>
          <w:shd w:val="clear" w:color="auto" w:fill="FFFFFF"/>
        </w:rPr>
        <w:noBreakHyphen/>
        <w:t>ОЗ</w:t>
      </w:r>
      <w:r w:rsidR="001B4F1A">
        <w:rPr>
          <w:shd w:val="clear" w:color="auto" w:fill="FFFFFF"/>
        </w:rPr>
        <w:t>.</w:t>
      </w:r>
    </w:p>
    <w:p w:rsidR="00DE43C9" w:rsidRDefault="00DE43C9" w:rsidP="00DE43C9">
      <w:pPr>
        <w:pStyle w:val="a4"/>
        <w:rPr>
          <w:b/>
          <w:shd w:val="clear" w:color="auto" w:fill="FFFFFF"/>
        </w:rPr>
      </w:pPr>
      <w:r>
        <w:rPr>
          <w:b/>
          <w:shd w:val="clear" w:color="auto" w:fill="FFFFFF"/>
        </w:rPr>
        <w:t>Контакты: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E43C9" w:rsidTr="00185B74">
        <w:tc>
          <w:tcPr>
            <w:tcW w:w="4998" w:type="dxa"/>
          </w:tcPr>
          <w:p w:rsidR="00DE43C9" w:rsidRDefault="00DE43C9" w:rsidP="00185B74">
            <w:pPr>
              <w:pStyle w:val="a4"/>
              <w:spacing w:before="0" w:beforeAutospacing="0" w:line="36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Адрес</w:t>
            </w:r>
          </w:p>
        </w:tc>
        <w:tc>
          <w:tcPr>
            <w:tcW w:w="4998" w:type="dxa"/>
          </w:tcPr>
          <w:p w:rsidR="00DE43C9" w:rsidRDefault="00DE43C9" w:rsidP="00185B74">
            <w:pPr>
              <w:pStyle w:val="a4"/>
              <w:spacing w:before="0" w:beforeAutospacing="0" w:line="36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Телефон</w:t>
            </w:r>
          </w:p>
        </w:tc>
      </w:tr>
      <w:tr w:rsidR="00DE43C9" w:rsidTr="00185B74">
        <w:tc>
          <w:tcPr>
            <w:tcW w:w="4998" w:type="dxa"/>
          </w:tcPr>
          <w:p w:rsidR="00DE43C9" w:rsidRPr="00F50DDA" w:rsidRDefault="00DE43C9" w:rsidP="00185B74">
            <w:pPr>
              <w:pStyle w:val="a4"/>
              <w:spacing w:before="0" w:beforeAutospacing="0"/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DE43C9" w:rsidRPr="00F50DDA" w:rsidRDefault="00DE43C9" w:rsidP="00185B74">
            <w:pPr>
              <w:pStyle w:val="a4"/>
              <w:spacing w:before="0" w:beforeAutospacing="0"/>
            </w:pPr>
            <w:r w:rsidRPr="00F50DDA"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20075, г. Екатеринбург, ул. Белинского, 35</w:t>
            </w:r>
          </w:p>
        </w:tc>
        <w:tc>
          <w:tcPr>
            <w:tcW w:w="4998" w:type="dxa"/>
          </w:tcPr>
          <w:p w:rsidR="00DE43C9" w:rsidRDefault="00DE43C9" w:rsidP="00185B74">
            <w:pPr>
              <w:shd w:val="clear" w:color="auto" w:fill="FFFFFF"/>
              <w:rPr>
                <w:rFonts w:ascii="PTSans-Regular" w:eastAsia="Times New Roman" w:hAnsi="PTSans-Regular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DE43C9" w:rsidRPr="009820F3" w:rsidRDefault="00DE43C9" w:rsidP="00185B74">
            <w:pPr>
              <w:shd w:val="clear" w:color="auto" w:fill="FFFFFF"/>
              <w:rPr>
                <w:rFonts w:ascii="PTSans-Regular" w:eastAsia="Times New Roman" w:hAnsi="PTSans-Regular" w:cs="Times New Roman"/>
                <w:color w:val="333333"/>
                <w:sz w:val="21"/>
                <w:szCs w:val="21"/>
              </w:rPr>
            </w:pPr>
            <w:r w:rsidRPr="009820F3">
              <w:rPr>
                <w:rFonts w:ascii="PTSans-Regular" w:eastAsia="Times New Roman" w:hAnsi="PTSans-Regular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8-800-100-25-79 </w:t>
            </w:r>
            <w:r w:rsidRPr="009820F3">
              <w:rPr>
                <w:rFonts w:ascii="PTSans-Regular" w:eastAsia="Times New Roman" w:hAnsi="PTSans-Regular" w:cs="Times New Roman"/>
                <w:color w:val="333333"/>
                <w:sz w:val="21"/>
                <w:szCs w:val="21"/>
              </w:rPr>
              <w:t>(звонок по России бесплатный)</w:t>
            </w:r>
          </w:p>
          <w:p w:rsidR="00DE43C9" w:rsidRDefault="00DE43C9" w:rsidP="00185B74">
            <w:pPr>
              <w:shd w:val="clear" w:color="auto" w:fill="FFFFFF"/>
              <w:rPr>
                <w:rFonts w:ascii="PTSans-Regular" w:eastAsia="Times New Roman" w:hAnsi="PTSans-Regular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</w:pPr>
          </w:p>
          <w:p w:rsidR="00DE43C9" w:rsidRPr="009820F3" w:rsidRDefault="00DE43C9" w:rsidP="00185B74">
            <w:pPr>
              <w:shd w:val="clear" w:color="auto" w:fill="FFFFFF"/>
              <w:rPr>
                <w:rFonts w:ascii="PTSans-Regular" w:eastAsia="Times New Roman" w:hAnsi="PTSans-Regular" w:cs="Times New Roman"/>
                <w:color w:val="333333"/>
                <w:sz w:val="21"/>
                <w:szCs w:val="21"/>
              </w:rPr>
            </w:pPr>
            <w:r w:rsidRPr="009820F3">
              <w:rPr>
                <w:rFonts w:ascii="PTSans-Regular" w:eastAsia="Times New Roman" w:hAnsi="PTSans-Regular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8 (343) 211-79-76</w:t>
            </w:r>
          </w:p>
          <w:p w:rsidR="00DE43C9" w:rsidRDefault="00DE43C9" w:rsidP="00185B74">
            <w:pPr>
              <w:pStyle w:val="a4"/>
              <w:spacing w:before="0" w:beforeAutospacing="0" w:line="360" w:lineRule="auto"/>
              <w:rPr>
                <w:b/>
                <w:shd w:val="clear" w:color="auto" w:fill="FFFFFF"/>
              </w:rPr>
            </w:pPr>
          </w:p>
        </w:tc>
      </w:tr>
      <w:tr w:rsidR="00DE43C9" w:rsidTr="00185B74">
        <w:tc>
          <w:tcPr>
            <w:tcW w:w="4998" w:type="dxa"/>
          </w:tcPr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shd w:val="clear" w:color="auto" w:fill="FFFFFF"/>
              </w:rPr>
            </w:pPr>
            <w:r w:rsidRPr="00F50DDA"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623100, г. Первоуральск, ул. Ватутина, 45</w:t>
            </w:r>
          </w:p>
        </w:tc>
        <w:tc>
          <w:tcPr>
            <w:tcW w:w="4998" w:type="dxa"/>
          </w:tcPr>
          <w:p w:rsidR="00DE43C9" w:rsidRPr="007D05D0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(3439) 25-68-57</w:t>
            </w: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</w:rPr>
              <w:br/>
            </w: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(3439) 64-99-15</w:t>
            </w:r>
          </w:p>
        </w:tc>
      </w:tr>
      <w:tr w:rsidR="00DE43C9" w:rsidTr="00185B74">
        <w:tc>
          <w:tcPr>
            <w:tcW w:w="4998" w:type="dxa"/>
          </w:tcPr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shd w:val="clear" w:color="auto" w:fill="FFFFFF"/>
              </w:rPr>
            </w:pPr>
            <w:r w:rsidRPr="00F50DDA"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622001, г. Нижний Тагил, ул. </w:t>
            </w:r>
            <w:proofErr w:type="gramStart"/>
            <w:r w:rsidRPr="00F50DDA"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Красноармейская</w:t>
            </w:r>
            <w:proofErr w:type="gramEnd"/>
            <w:r w:rsidRPr="00F50DDA"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, 9, офисный центр «Континент», 3 этаж</w:t>
            </w:r>
          </w:p>
        </w:tc>
        <w:tc>
          <w:tcPr>
            <w:tcW w:w="4998" w:type="dxa"/>
          </w:tcPr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(3435) 42-09-42</w:t>
            </w:r>
          </w:p>
          <w:p w:rsidR="00DE43C9" w:rsidRDefault="00DE43C9" w:rsidP="00185B74">
            <w:pPr>
              <w:pStyle w:val="a4"/>
              <w:spacing w:before="0" w:beforeAutospacing="0" w:line="360" w:lineRule="auto"/>
              <w:rPr>
                <w:b/>
                <w:shd w:val="clear" w:color="auto" w:fill="FFFFFF"/>
              </w:rPr>
            </w:pP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(3435) 41-70-14</w:t>
            </w:r>
          </w:p>
        </w:tc>
      </w:tr>
      <w:tr w:rsidR="00DE43C9" w:rsidTr="00185B74">
        <w:tc>
          <w:tcPr>
            <w:tcW w:w="4998" w:type="dxa"/>
          </w:tcPr>
          <w:p w:rsidR="00DE43C9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DE43C9" w:rsidRDefault="00DE43C9" w:rsidP="00185B74">
            <w:pPr>
              <w:pStyle w:val="a4"/>
              <w:spacing w:before="0" w:beforeAutospacing="0" w:line="360" w:lineRule="auto"/>
              <w:rPr>
                <w:b/>
                <w:shd w:val="clear" w:color="auto" w:fill="FFFFFF"/>
              </w:rPr>
            </w:pPr>
            <w:r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622001, г. Каменск-Уральский,  ул. </w:t>
            </w:r>
            <w:proofErr w:type="spellStart"/>
            <w:r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Кунавина</w:t>
            </w:r>
            <w:proofErr w:type="spellEnd"/>
            <w:r>
              <w:rPr>
                <w:rFonts w:ascii="PTSans-Regular" w:hAnsi="PTSans-Regular"/>
                <w:color w:val="333333"/>
                <w:sz w:val="21"/>
                <w:szCs w:val="21"/>
                <w:shd w:val="clear" w:color="auto" w:fill="FFFFFF"/>
              </w:rPr>
              <w:t>, 2, Бизнес-центр «Петровский», оф. 124</w:t>
            </w:r>
          </w:p>
        </w:tc>
        <w:tc>
          <w:tcPr>
            <w:tcW w:w="4998" w:type="dxa"/>
          </w:tcPr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(3439) 39-69-02</w:t>
            </w:r>
          </w:p>
          <w:p w:rsidR="00DE43C9" w:rsidRPr="00F50DDA" w:rsidRDefault="00DE43C9" w:rsidP="00185B74">
            <w:pPr>
              <w:pStyle w:val="a4"/>
              <w:spacing w:before="0" w:beforeAutospacing="0" w:line="360" w:lineRule="auto"/>
              <w:rPr>
                <w:b/>
                <w:shd w:val="clear" w:color="auto" w:fill="FFFFFF"/>
              </w:rPr>
            </w:pPr>
            <w:r w:rsidRPr="00F50DDA">
              <w:rPr>
                <w:rFonts w:ascii="PTSans-Regular" w:hAnsi="PTSans-Regular"/>
                <w:b/>
                <w:color w:val="333333"/>
                <w:sz w:val="21"/>
                <w:szCs w:val="21"/>
                <w:shd w:val="clear" w:color="auto" w:fill="FFFFFF"/>
              </w:rPr>
              <w:t>(3439) 36-69-07</w:t>
            </w:r>
          </w:p>
        </w:tc>
      </w:tr>
    </w:tbl>
    <w:p w:rsidR="00DE43C9" w:rsidRDefault="00DE43C9" w:rsidP="00DE43C9">
      <w:pPr>
        <w:pStyle w:val="a4"/>
        <w:rPr>
          <w:b/>
          <w:shd w:val="clear" w:color="auto" w:fill="FFFFFF"/>
        </w:rPr>
      </w:pPr>
    </w:p>
    <w:p w:rsidR="00511AA9" w:rsidRPr="00761233" w:rsidRDefault="00511AA9" w:rsidP="00761233">
      <w:pPr>
        <w:pStyle w:val="a4"/>
        <w:jc w:val="both"/>
        <w:rPr>
          <w:shd w:val="clear" w:color="auto" w:fill="FFFFFF"/>
        </w:rPr>
      </w:pPr>
      <w:bookmarkStart w:id="0" w:name="_GoBack"/>
      <w:bookmarkEnd w:id="0"/>
    </w:p>
    <w:sectPr w:rsidR="00511AA9" w:rsidRPr="00761233" w:rsidSect="00711C1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B85"/>
    <w:rsid w:val="001B4F1A"/>
    <w:rsid w:val="001C1F53"/>
    <w:rsid w:val="00511AA9"/>
    <w:rsid w:val="005501F9"/>
    <w:rsid w:val="00711C11"/>
    <w:rsid w:val="00761233"/>
    <w:rsid w:val="007D05D0"/>
    <w:rsid w:val="007E6A55"/>
    <w:rsid w:val="009820F3"/>
    <w:rsid w:val="00CA11B0"/>
    <w:rsid w:val="00D03FEA"/>
    <w:rsid w:val="00D47B85"/>
    <w:rsid w:val="00DE43C9"/>
    <w:rsid w:val="00F214E4"/>
    <w:rsid w:val="00F2280C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ufond.ru/index.php?option=com_content&amp;view=article&amp;id=9&amp;Itemid=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0F7E-C1DB-4195-B933-63F6F95A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АгафоноваО</dc:creator>
  <cp:keywords/>
  <dc:description/>
  <cp:lastModifiedBy>Людмила Дмитриева</cp:lastModifiedBy>
  <cp:revision>12</cp:revision>
  <cp:lastPrinted>2015-06-01T04:55:00Z</cp:lastPrinted>
  <dcterms:created xsi:type="dcterms:W3CDTF">2015-06-01T04:54:00Z</dcterms:created>
  <dcterms:modified xsi:type="dcterms:W3CDTF">2015-06-16T09:42:00Z</dcterms:modified>
</cp:coreProperties>
</file>