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1C83" w:rsidRDefault="00671C83" w:rsidP="0001306B">
      <w:pPr>
        <w:ind w:right="-1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</w:p>
    <w:p w:rsidR="001E00C7" w:rsidRPr="00D804E6" w:rsidRDefault="001E00C7" w:rsidP="0001306B">
      <w:pPr>
        <w:ind w:right="-1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804E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Отчет</w:t>
      </w:r>
    </w:p>
    <w:p w:rsidR="001E00C7" w:rsidRPr="00D804E6" w:rsidRDefault="001E00C7" w:rsidP="0001306B">
      <w:pPr>
        <w:ind w:right="-1"/>
        <w:jc w:val="center"/>
        <w:outlineLvl w:val="0"/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</w:pPr>
      <w:r w:rsidRPr="00D804E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о реализации комплексной </w:t>
      </w:r>
      <w:proofErr w:type="gramStart"/>
      <w:r w:rsidRPr="00D804E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муниципальной  программы</w:t>
      </w:r>
      <w:proofErr w:type="gramEnd"/>
      <w:r w:rsidRPr="00D804E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«Повышение эффективности управления муниципальными финансами </w:t>
      </w:r>
      <w:proofErr w:type="spellStart"/>
      <w:r w:rsidRPr="00D804E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>Верхнесалдинского</w:t>
      </w:r>
      <w:proofErr w:type="spellEnd"/>
      <w:r w:rsidRPr="00D804E6">
        <w:rPr>
          <w:rFonts w:ascii="Times New Roman" w:hAnsi="Times New Roman" w:cs="Times New Roman"/>
          <w:b/>
          <w:bCs/>
          <w:color w:val="333333"/>
          <w:kern w:val="36"/>
          <w:sz w:val="28"/>
          <w:szCs w:val="28"/>
        </w:rPr>
        <w:t xml:space="preserve"> городского округа до 2018 года»</w:t>
      </w:r>
    </w:p>
    <w:p w:rsidR="001E00C7" w:rsidRPr="00D804E6" w:rsidRDefault="001E00C7" w:rsidP="0001306B">
      <w:pPr>
        <w:ind w:right="-1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форма 1</w:t>
      </w:r>
    </w:p>
    <w:p w:rsidR="001E00C7" w:rsidRPr="00D804E6" w:rsidRDefault="001E00C7" w:rsidP="0001306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Финансирование мероприятий за</w:t>
      </w:r>
      <w:r w:rsidR="006B733D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8D24A6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p w:rsidR="001E00C7" w:rsidRPr="00D804E6" w:rsidRDefault="001E00C7" w:rsidP="0001306B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</w:p>
    <w:tbl>
      <w:tblPr>
        <w:tblW w:w="0" w:type="auto"/>
        <w:tblInd w:w="2" w:type="dxa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650"/>
        <w:gridCol w:w="344"/>
        <w:gridCol w:w="552"/>
        <w:gridCol w:w="1053"/>
        <w:gridCol w:w="344"/>
        <w:gridCol w:w="344"/>
        <w:gridCol w:w="1053"/>
        <w:gridCol w:w="344"/>
        <w:gridCol w:w="344"/>
        <w:gridCol w:w="1053"/>
        <w:gridCol w:w="344"/>
        <w:gridCol w:w="552"/>
        <w:gridCol w:w="1053"/>
        <w:gridCol w:w="344"/>
        <w:gridCol w:w="344"/>
        <w:gridCol w:w="1053"/>
      </w:tblGrid>
      <w:tr w:rsidR="001E00C7" w:rsidRPr="00D804E6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>
            <w:pPr>
              <w:spacing w:after="136" w:line="215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1E00C7" w:rsidRPr="00D804E6" w:rsidRDefault="001E00C7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строки</w:t>
            </w: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Финансирование программных мероприятий за счет всех источников ресурсного обеспечения (тыс. рублей)</w:t>
            </w:r>
          </w:p>
        </w:tc>
      </w:tr>
      <w:tr w:rsidR="001E00C7" w:rsidRPr="00D804E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C7" w:rsidRPr="00D804E6" w:rsidRDefault="001E00C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Всего, в том числе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областной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федеральный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местный бюджет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внебюджетные источники</w:t>
            </w:r>
          </w:p>
        </w:tc>
      </w:tr>
      <w:tr w:rsidR="001E00C7" w:rsidRPr="00D804E6">
        <w:trPr>
          <w:cantSplit/>
          <w:trHeight w:val="81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0C7" w:rsidRPr="00D804E6" w:rsidRDefault="001E00C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план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1E00C7" w:rsidRPr="00D804E6" w:rsidRDefault="001E00C7" w:rsidP="00550D23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</w:tr>
      <w:tr w:rsidR="001E00C7" w:rsidRPr="00D80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</w:tr>
      <w:tr w:rsidR="001E00C7" w:rsidRPr="00D804E6">
        <w:trPr>
          <w:trHeight w:val="1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1E00C7" w:rsidRPr="00D804E6" w:rsidRDefault="001E00C7" w:rsidP="00550D23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Всего по программе:</w:t>
            </w:r>
          </w:p>
        </w:tc>
      </w:tr>
      <w:tr w:rsidR="002E46A7" w:rsidRPr="00D804E6">
        <w:trPr>
          <w:cantSplit/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363,3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363,3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</w:tr>
      <w:tr w:rsidR="002E46A7" w:rsidRPr="00D804E6">
        <w:trPr>
          <w:trHeight w:val="41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Капитальные вложения</w:t>
            </w:r>
          </w:p>
        </w:tc>
      </w:tr>
      <w:tr w:rsidR="002E46A7" w:rsidRPr="00D804E6">
        <w:trPr>
          <w:trHeight w:val="42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</w:tr>
      <w:tr w:rsidR="002E46A7" w:rsidRPr="00D80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Научно-исследовательские и опытно-конструкторские работы</w:t>
            </w:r>
          </w:p>
        </w:tc>
      </w:tr>
      <w:tr w:rsidR="002E46A7" w:rsidRPr="00D804E6">
        <w:trPr>
          <w:trHeight w:val="3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D804E6">
              <w:rPr>
                <w:sz w:val="20"/>
                <w:szCs w:val="20"/>
              </w:rPr>
              <w:t>0</w:t>
            </w:r>
          </w:p>
        </w:tc>
      </w:tr>
      <w:tr w:rsidR="002E46A7" w:rsidRPr="00D804E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jc w:val="center"/>
            </w:pPr>
          </w:p>
        </w:tc>
        <w:tc>
          <w:tcPr>
            <w:tcW w:w="0" w:type="auto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Прочие нужды</w:t>
            </w:r>
          </w:p>
        </w:tc>
      </w:tr>
      <w:tr w:rsidR="002E46A7" w:rsidRPr="00D804E6">
        <w:trPr>
          <w:cantSplit/>
          <w:trHeight w:val="73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363,3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469,5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363,3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textDirection w:val="btLr"/>
            <w:vAlign w:val="center"/>
          </w:tcPr>
          <w:p w:rsidR="002E46A7" w:rsidRPr="00D804E6" w:rsidRDefault="002E46A7" w:rsidP="002E46A7">
            <w:pPr>
              <w:ind w:left="113" w:right="113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</w:rPr>
              <w:t>77,4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AFE"/>
            <w:tcMar>
              <w:top w:w="136" w:type="dxa"/>
              <w:left w:w="68" w:type="dxa"/>
              <w:bottom w:w="136" w:type="dxa"/>
              <w:right w:w="68" w:type="dxa"/>
            </w:tcMar>
            <w:vAlign w:val="center"/>
          </w:tcPr>
          <w:p w:rsidR="002E46A7" w:rsidRPr="00D804E6" w:rsidRDefault="002E46A7" w:rsidP="002E46A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151515"/>
                <w:sz w:val="20"/>
                <w:szCs w:val="20"/>
              </w:rPr>
              <w:t>0</w:t>
            </w:r>
          </w:p>
        </w:tc>
      </w:tr>
    </w:tbl>
    <w:p w:rsidR="001E00C7" w:rsidRPr="00D804E6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D804E6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D804E6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D804E6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D804E6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D804E6" w:rsidRDefault="001E00C7" w:rsidP="0001306B">
      <w:pPr>
        <w:spacing w:after="136" w:line="215" w:lineRule="atLeast"/>
        <w:ind w:left="-142" w:right="3057"/>
        <w:rPr>
          <w:rFonts w:ascii="Times New Roman" w:hAnsi="Times New Roman" w:cs="Times New Roman"/>
          <w:color w:val="242424"/>
          <w:sz w:val="28"/>
          <w:szCs w:val="28"/>
        </w:rPr>
      </w:pPr>
      <w:r w:rsidRPr="00D804E6">
        <w:rPr>
          <w:rFonts w:ascii="Times New Roman" w:hAnsi="Times New Roman" w:cs="Times New Roman"/>
          <w:color w:val="242424"/>
          <w:sz w:val="28"/>
          <w:szCs w:val="28"/>
        </w:rPr>
        <w:t>Форма 2</w:t>
      </w:r>
    </w:p>
    <w:p w:rsidR="001E00C7" w:rsidRPr="00D804E6" w:rsidRDefault="001E00C7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0"/>
          <w:szCs w:val="20"/>
        </w:rPr>
      </w:pPr>
      <w:r w:rsidRPr="00D804E6">
        <w:rPr>
          <w:rFonts w:ascii="Times New Roman" w:hAnsi="Times New Roman" w:cs="Times New Roman"/>
          <w:color w:val="242424"/>
          <w:sz w:val="28"/>
          <w:szCs w:val="28"/>
        </w:rPr>
        <w:t xml:space="preserve">Достижение целевых показателей </w:t>
      </w:r>
      <w:r w:rsidRPr="00D804E6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</w:p>
    <w:p w:rsidR="001E00C7" w:rsidRPr="00D804E6" w:rsidRDefault="005F0853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з</w:t>
      </w:r>
      <w:r w:rsidR="001E00C7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1E00C7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A53E57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="001E00C7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tbl>
      <w:tblPr>
        <w:tblW w:w="9813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34"/>
        <w:gridCol w:w="2977"/>
        <w:gridCol w:w="1465"/>
        <w:gridCol w:w="1545"/>
        <w:gridCol w:w="1290"/>
        <w:gridCol w:w="236"/>
        <w:gridCol w:w="142"/>
        <w:gridCol w:w="1024"/>
      </w:tblGrid>
      <w:tr w:rsidR="001E00C7" w:rsidRPr="00D804E6">
        <w:tc>
          <w:tcPr>
            <w:tcW w:w="1134" w:type="dxa"/>
            <w:vMerge w:val="restart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bookmarkStart w:id="0" w:name="sub_1311"/>
            <w:bookmarkEnd w:id="0"/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№</w:t>
            </w:r>
          </w:p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строки целевого показателя</w:t>
            </w:r>
          </w:p>
        </w:tc>
        <w:tc>
          <w:tcPr>
            <w:tcW w:w="2977" w:type="dxa"/>
            <w:vMerge w:val="restart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465" w:type="dxa"/>
            <w:vMerge w:val="restart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Единица измерения</w:t>
            </w:r>
          </w:p>
        </w:tc>
        <w:tc>
          <w:tcPr>
            <w:tcW w:w="4237" w:type="dxa"/>
            <w:gridSpan w:val="5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Значение целевого показателя</w:t>
            </w:r>
          </w:p>
        </w:tc>
      </w:tr>
      <w:tr w:rsidR="001E00C7" w:rsidRPr="00D804E6">
        <w:trPr>
          <w:trHeight w:val="620"/>
        </w:trPr>
        <w:tc>
          <w:tcPr>
            <w:tcW w:w="1134" w:type="dxa"/>
            <w:vMerge/>
            <w:vAlign w:val="center"/>
          </w:tcPr>
          <w:p w:rsidR="001E00C7" w:rsidRPr="00D804E6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977" w:type="dxa"/>
            <w:vMerge/>
            <w:vAlign w:val="center"/>
          </w:tcPr>
          <w:p w:rsidR="001E00C7" w:rsidRPr="00D804E6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465" w:type="dxa"/>
            <w:vMerge/>
            <w:vAlign w:val="center"/>
          </w:tcPr>
          <w:p w:rsidR="001E00C7" w:rsidRPr="00D804E6" w:rsidRDefault="001E00C7" w:rsidP="0059135C">
            <w:pPr>
              <w:spacing w:after="0" w:line="240" w:lineRule="auto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545" w:type="dxa"/>
          </w:tcPr>
          <w:p w:rsidR="001E00C7" w:rsidRPr="00D804E6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планируемое </w:t>
            </w:r>
          </w:p>
          <w:p w:rsidR="001E00C7" w:rsidRPr="00D804E6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на текущий год</w:t>
            </w:r>
          </w:p>
        </w:tc>
        <w:tc>
          <w:tcPr>
            <w:tcW w:w="1526" w:type="dxa"/>
            <w:gridSpan w:val="2"/>
          </w:tcPr>
          <w:p w:rsidR="001E00C7" w:rsidRPr="00D804E6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фактическое за отчетный</w:t>
            </w:r>
          </w:p>
          <w:p w:rsidR="001E00C7" w:rsidRPr="00D804E6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период</w:t>
            </w:r>
          </w:p>
        </w:tc>
        <w:tc>
          <w:tcPr>
            <w:tcW w:w="1166" w:type="dxa"/>
            <w:gridSpan w:val="2"/>
          </w:tcPr>
          <w:p w:rsidR="001E00C7" w:rsidRPr="00D804E6" w:rsidRDefault="001E00C7" w:rsidP="0059135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процент выполнения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526" w:type="dxa"/>
            <w:gridSpan w:val="2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1166" w:type="dxa"/>
            <w:gridSpan w:val="2"/>
          </w:tcPr>
          <w:p w:rsidR="001E00C7" w:rsidRPr="00D804E6" w:rsidRDefault="001E00C7" w:rsidP="0059135C">
            <w:pPr>
              <w:spacing w:after="136" w:line="215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2977" w:type="dxa"/>
          </w:tcPr>
          <w:p w:rsidR="001E00C7" w:rsidRPr="00D804E6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465" w:type="dxa"/>
          </w:tcPr>
          <w:p w:rsidR="001E00C7" w:rsidRPr="00D804E6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45" w:type="dxa"/>
          </w:tcPr>
          <w:p w:rsidR="001E00C7" w:rsidRPr="00D804E6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526" w:type="dxa"/>
            <w:gridSpan w:val="2"/>
          </w:tcPr>
          <w:p w:rsidR="001E00C7" w:rsidRPr="00D804E6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  <w:tc>
          <w:tcPr>
            <w:tcW w:w="1166" w:type="dxa"/>
            <w:gridSpan w:val="2"/>
          </w:tcPr>
          <w:p w:rsidR="001E00C7" w:rsidRPr="00D804E6" w:rsidRDefault="001E00C7" w:rsidP="0059135C">
            <w:pPr>
              <w:spacing w:after="0" w:line="240" w:lineRule="auto"/>
              <w:jc w:val="center"/>
              <w:rPr>
                <w:lang w:eastAsia="en-US"/>
              </w:rPr>
            </w:pPr>
          </w:p>
        </w:tc>
      </w:tr>
      <w:tr w:rsidR="001E00C7" w:rsidRPr="00D804E6">
        <w:trPr>
          <w:trHeight w:val="422"/>
        </w:trPr>
        <w:tc>
          <w:tcPr>
            <w:tcW w:w="1134" w:type="dxa"/>
          </w:tcPr>
          <w:p w:rsidR="001E00C7" w:rsidRPr="00D804E6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1" w:name="sub_65"/>
          </w:p>
          <w:p w:rsidR="001E00C7" w:rsidRPr="00D804E6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color w:val="1D85B3"/>
                <w:sz w:val="20"/>
                <w:szCs w:val="20"/>
                <w:u w:val="single"/>
                <w:bdr w:val="none" w:sz="0" w:space="0" w:color="auto" w:frame="1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8679" w:type="dxa"/>
            <w:gridSpan w:val="7"/>
          </w:tcPr>
          <w:p w:rsidR="001E00C7" w:rsidRPr="00D804E6" w:rsidRDefault="001E00C7" w:rsidP="0059135C">
            <w:pPr>
              <w:spacing w:after="0" w:line="215" w:lineRule="atLeast"/>
              <w:ind w:left="1196"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Задача 1. «ОБЕСПЕЧЕНИЕ ДОЛГОСРОЧНОЙ УСТОЙЧИВОСТИ И </w:t>
            </w:r>
          </w:p>
          <w:p w:rsidR="001E00C7" w:rsidRPr="00D804E6" w:rsidRDefault="001E00C7" w:rsidP="0059135C">
            <w:pPr>
              <w:spacing w:after="0" w:line="215" w:lineRule="atLeast"/>
              <w:ind w:right="-70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СБАЛАНСИРОВАННОСТИ МЕСТНОГО БЮДЖЕТА»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прогноза социально-экономического развития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01 июля</w:t>
            </w:r>
          </w:p>
        </w:tc>
        <w:tc>
          <w:tcPr>
            <w:tcW w:w="1668" w:type="dxa"/>
            <w:gridSpan w:val="3"/>
          </w:tcPr>
          <w:p w:rsidR="001E00C7" w:rsidRPr="00D804E6" w:rsidRDefault="004978E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 01 июля</w:t>
            </w:r>
          </w:p>
        </w:tc>
        <w:tc>
          <w:tcPr>
            <w:tcW w:w="102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Отношение объема муниципального долга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по состоянию на 01 января года, следующего за отчетным, к общему годовому объему доходов местного бюджета в отчетном финансовом году (без учета безвозмездных поступлений и остатков средств на счете по состоянию на 01 января года, следующего за отчетным)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5E0D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не более 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1668" w:type="dxa"/>
            <w:gridSpan w:val="3"/>
          </w:tcPr>
          <w:p w:rsidR="001E00C7" w:rsidRPr="00D804E6" w:rsidRDefault="002C775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6,2</w:t>
            </w:r>
          </w:p>
        </w:tc>
        <w:tc>
          <w:tcPr>
            <w:tcW w:w="1024" w:type="dxa"/>
          </w:tcPr>
          <w:p w:rsidR="001E00C7" w:rsidRPr="00D804E6" w:rsidRDefault="002C775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62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Исполнение мероприятий, предусмотренных Указами Президента Российской Федерации от 07 мая 2012 года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668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02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8679" w:type="dxa"/>
            <w:gridSpan w:val="7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bookmarkStart w:id="2" w:name="Par626"/>
            <w:bookmarkEnd w:id="2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2. «РАЗВИТИЕ ПРОГРАММНО-ЦЕЛЕВОГО ПЛАНИРОВАНИЯ»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актуального Порядка формирования и реализации муниципальных программ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соответствующего требованиям бюджетного законодательства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6" w:type="dxa"/>
            <w:gridSpan w:val="2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66" w:type="dxa"/>
            <w:gridSpan w:val="2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2.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Среднее значение оценки эффективности муниципальных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программ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21131A" w:rsidRPr="00D804E6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1131A" w:rsidRPr="00D804E6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баллов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1526" w:type="dxa"/>
            <w:gridSpan w:val="2"/>
          </w:tcPr>
          <w:p w:rsidR="001E00C7" w:rsidRPr="00D804E6" w:rsidRDefault="00D676DD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66" w:type="dxa"/>
            <w:gridSpan w:val="2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133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муниципальных программ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в которых отражены показатели муниципальных заданий, к общему числу муниципальных программ о</w:t>
            </w:r>
            <w:r w:rsidR="00B8051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рганов местного самоуправления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формирующих муниципальные задания для подведомственных учреждений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096E6B" w:rsidRPr="00D804E6" w:rsidRDefault="000D23D2" w:rsidP="00096E6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526" w:type="dxa"/>
            <w:gridSpan w:val="2"/>
          </w:tcPr>
          <w:p w:rsidR="001E00C7" w:rsidRPr="00D804E6" w:rsidRDefault="000D23D2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11,9</w:t>
            </w:r>
          </w:p>
        </w:tc>
        <w:tc>
          <w:tcPr>
            <w:tcW w:w="1166" w:type="dxa"/>
            <w:gridSpan w:val="2"/>
          </w:tcPr>
          <w:p w:rsidR="001E00C7" w:rsidRPr="00D804E6" w:rsidRDefault="000D23D2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</w:tr>
      <w:tr w:rsidR="001E00C7" w:rsidRPr="00D804E6">
        <w:trPr>
          <w:trHeight w:val="1030"/>
        </w:trPr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 Формирование местного бюджета в программной структуре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526" w:type="dxa"/>
            <w:gridSpan w:val="2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166" w:type="dxa"/>
            <w:gridSpan w:val="2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5.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расходов местного бюджета, формируемых в рамках программ, в общем объеме расходов местного бюджета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ниже 95</w:t>
            </w:r>
          </w:p>
        </w:tc>
        <w:tc>
          <w:tcPr>
            <w:tcW w:w="1526" w:type="dxa"/>
            <w:gridSpan w:val="2"/>
          </w:tcPr>
          <w:p w:rsidR="001E00C7" w:rsidRPr="00D804E6" w:rsidRDefault="003F721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</w:t>
            </w:r>
          </w:p>
        </w:tc>
        <w:tc>
          <w:tcPr>
            <w:tcW w:w="1166" w:type="dxa"/>
            <w:gridSpan w:val="2"/>
          </w:tcPr>
          <w:p w:rsidR="001E00C7" w:rsidRPr="00D804E6" w:rsidRDefault="003F7214" w:rsidP="0021131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104,2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8679" w:type="dxa"/>
            <w:gridSpan w:val="7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3. «ПОВЫШЕНИЕ ЭФФЕКТИВНОСТИ СИСТЕМЫ МУНИЦИПАЛЬНОГО ФИНАНСОВОГО КОНТРОЛЯ»</w:t>
            </w:r>
          </w:p>
        </w:tc>
      </w:tr>
      <w:tr w:rsidR="001E00C7" w:rsidRPr="00D804E6">
        <w:trPr>
          <w:trHeight w:val="1681"/>
        </w:trPr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Количество проведенных проверок при осуществлении контроля в сфере закупок товаров, работ, услуг для обеспечения муниципальных нужд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D804E6" w:rsidRDefault="00671C8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290" w:type="dxa"/>
          </w:tcPr>
          <w:p w:rsidR="001E00C7" w:rsidRPr="00D804E6" w:rsidRDefault="00671C8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1402" w:type="dxa"/>
            <w:gridSpan w:val="3"/>
          </w:tcPr>
          <w:p w:rsidR="001E00C7" w:rsidRPr="00D804E6" w:rsidRDefault="00C738D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  <w:p w:rsidR="00C738D5" w:rsidRPr="00D804E6" w:rsidRDefault="00C738D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актуального Порядка осуществления полномочий по контролю в финансово-бюджетной сфере, соответствующего требованиям бюджетного законодательства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3.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Наличие Порядка осуществления распорядителями средств местного бюджета внутреннего финансового контроля и аудита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8679" w:type="dxa"/>
            <w:gridSpan w:val="7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4. «ПОВЫШЕНИЕ ЭФФЕКТИВНОСТИ МУНИЦИПАЛЬНОГО СЕКТОРА ЭКОНОМИКИ ВЕРХНЕСАЛДИНСКОГО ГОРОДСКОГО ОКРУГА»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Количество муниципальных унитарных предприятий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D804E6" w:rsidRDefault="00843A92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290" w:type="dxa"/>
          </w:tcPr>
          <w:p w:rsidR="001E00C7" w:rsidRPr="00D804E6" w:rsidRDefault="00843A92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1402" w:type="dxa"/>
            <w:gridSpan w:val="3"/>
          </w:tcPr>
          <w:p w:rsidR="001E00C7" w:rsidRPr="00D804E6" w:rsidRDefault="00F35E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Отношение объема безвозмездных и безвозвратных перечислений из бюджета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муниципальным унитарным предприятиям в отчетном финансовом году к объему доходов бюджета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перечисления части прибыли муниципальных унитарных предприятий, остающейся после уплаты налогов и обязательных платежей, в отчетном финансовом году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18</w:t>
            </w:r>
          </w:p>
        </w:tc>
        <w:tc>
          <w:tcPr>
            <w:tcW w:w="8679" w:type="dxa"/>
            <w:gridSpan w:val="7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5. «ПОВЫШЕНИЕ ЭФФЕКТИВНОСТИ УПРАВЛЕНИЯ ДОХОДАМИ МЕСТНОГО БЮДЖЕТА»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Темп роста объема налоговых и неналоговых доходов бюджета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округа  (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сопоставимых условиях)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5E0D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4,5</w:t>
            </w:r>
          </w:p>
        </w:tc>
        <w:tc>
          <w:tcPr>
            <w:tcW w:w="1290" w:type="dxa"/>
          </w:tcPr>
          <w:p w:rsidR="001E00C7" w:rsidRPr="00D804E6" w:rsidRDefault="002C775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1,5</w:t>
            </w:r>
          </w:p>
        </w:tc>
        <w:tc>
          <w:tcPr>
            <w:tcW w:w="1402" w:type="dxa"/>
            <w:gridSpan w:val="3"/>
          </w:tcPr>
          <w:p w:rsidR="001E00C7" w:rsidRPr="00D804E6" w:rsidRDefault="002C775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33,3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Объем налоговых и неналоговых доходов бюджета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 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млн. рублей</w:t>
            </w:r>
          </w:p>
        </w:tc>
        <w:tc>
          <w:tcPr>
            <w:tcW w:w="1545" w:type="dxa"/>
          </w:tcPr>
          <w:p w:rsidR="001E00C7" w:rsidRPr="00D804E6" w:rsidRDefault="002C775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405,4</w:t>
            </w:r>
          </w:p>
        </w:tc>
        <w:tc>
          <w:tcPr>
            <w:tcW w:w="1290" w:type="dxa"/>
          </w:tcPr>
          <w:p w:rsidR="001E00C7" w:rsidRPr="00D804E6" w:rsidRDefault="002C775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409,6</w:t>
            </w:r>
          </w:p>
        </w:tc>
        <w:tc>
          <w:tcPr>
            <w:tcW w:w="1402" w:type="dxa"/>
            <w:gridSpan w:val="3"/>
          </w:tcPr>
          <w:p w:rsidR="001E00C7" w:rsidRPr="00D804E6" w:rsidRDefault="002C775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101,0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 Исполнение прогноза налоговых и неналоговых доходов местного бюджета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95</w:t>
            </w:r>
          </w:p>
        </w:tc>
        <w:tc>
          <w:tcPr>
            <w:tcW w:w="1290" w:type="dxa"/>
          </w:tcPr>
          <w:p w:rsidR="001E00C7" w:rsidRPr="00D804E6" w:rsidRDefault="00ED73EB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101</w:t>
            </w:r>
          </w:p>
        </w:tc>
        <w:tc>
          <w:tcPr>
            <w:tcW w:w="1402" w:type="dxa"/>
            <w:gridSpan w:val="3"/>
          </w:tcPr>
          <w:p w:rsidR="001E00C7" w:rsidRPr="00D804E6" w:rsidRDefault="00ED73EB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106,3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4.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актуального Порядка рассмотрения обращений налогоплательщиков 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 о возможности предоставления налоговых льгот и оценки их эффективности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Удельный вес недополученных доходов по местным налогам в результате действия налоговых льгот, установленных представительным органом власти, к общему объему поступивших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местных  налогов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62671B" w:rsidP="00DE548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&lt;= 38,0</w:t>
            </w:r>
          </w:p>
        </w:tc>
        <w:tc>
          <w:tcPr>
            <w:tcW w:w="1290" w:type="dxa"/>
          </w:tcPr>
          <w:p w:rsidR="001E00C7" w:rsidRPr="00D804E6" w:rsidRDefault="0062671B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28,4</w:t>
            </w:r>
          </w:p>
        </w:tc>
        <w:tc>
          <w:tcPr>
            <w:tcW w:w="1402" w:type="dxa"/>
            <w:gridSpan w:val="3"/>
          </w:tcPr>
          <w:p w:rsidR="001E00C7" w:rsidRPr="00D804E6" w:rsidRDefault="0062671B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74,7</w:t>
            </w:r>
          </w:p>
          <w:p w:rsidR="003F6F34" w:rsidRPr="00D804E6" w:rsidRDefault="003F6F34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6. Оптимизация налоговых льгот и преференций, предоставленных представительным органом власти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8267F2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02" w:type="dxa"/>
            <w:gridSpan w:val="3"/>
          </w:tcPr>
          <w:p w:rsidR="001E00C7" w:rsidRPr="00D804E6" w:rsidRDefault="00835BD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7.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Плана мероприятий ("дорожной карты") по повышению доходного потенциала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период, утвержденного в сроки, установленные правовым актом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  <w:p w:rsidR="0021131A" w:rsidRPr="00D804E6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21131A" w:rsidRPr="00D804E6" w:rsidRDefault="0021131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26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8. Подготовка и направление в адрес Министерства финансов Свердловской области отчета и аналитической информации о ходе выполнения Плана ("дорожной карты") по дополнительной мобилизации налоговых и неналоговых доходов </w:t>
            </w:r>
            <w:proofErr w:type="spellStart"/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городского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 в сроки, установленные муниципальным правовым актом 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9.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Количество хозяйствующих субъектов, рассмотренных на заседаниях межведомственных комиссий, рабочих групп по вопросам повышения прибыльности (ликвидации убыточности), доведения заработной платы до среднего уровня по видам экономической деятельности и своевременности перечисления хозяйствующими субъектами (налоговыми агентами) удержанных сумм налога на доходы физических лиц, снижения уровня недоимки в бюджет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50</w:t>
            </w:r>
          </w:p>
        </w:tc>
        <w:tc>
          <w:tcPr>
            <w:tcW w:w="1290" w:type="dxa"/>
          </w:tcPr>
          <w:p w:rsidR="001E00C7" w:rsidRPr="00D804E6" w:rsidRDefault="0012601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63</w:t>
            </w:r>
          </w:p>
        </w:tc>
        <w:tc>
          <w:tcPr>
            <w:tcW w:w="1402" w:type="dxa"/>
            <w:gridSpan w:val="3"/>
          </w:tcPr>
          <w:p w:rsidR="001E00C7" w:rsidRPr="00D804E6" w:rsidRDefault="0012601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126</w:t>
            </w:r>
          </w:p>
          <w:p w:rsidR="00344A29" w:rsidRPr="00D804E6" w:rsidRDefault="00344A2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10.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проведенных межведомственных совещаний по вопросам повышения доходного потенциала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единиц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менее 10</w:t>
            </w:r>
          </w:p>
        </w:tc>
        <w:tc>
          <w:tcPr>
            <w:tcW w:w="1290" w:type="dxa"/>
          </w:tcPr>
          <w:p w:rsidR="001E00C7" w:rsidRPr="00D804E6" w:rsidRDefault="00E9521E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1402" w:type="dxa"/>
            <w:gridSpan w:val="3"/>
          </w:tcPr>
          <w:p w:rsidR="001E00C7" w:rsidRPr="00D804E6" w:rsidRDefault="00E9521E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  <w:r w:rsidR="00E97FE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29</w:t>
            </w:r>
          </w:p>
        </w:tc>
        <w:tc>
          <w:tcPr>
            <w:tcW w:w="8679" w:type="dxa"/>
            <w:gridSpan w:val="7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6. «ПОВЫШЕНИЕ ЭФФЕКТИВНОСТИ БЮДЖЕТНЫХ РАСХОДОВ»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Совершенствование Порядка и Методики планирования бюджетных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ассигнований  бюджета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2.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Доля муниципальных заказчиков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представители которых приняли участие в семинарах, направленных на повышение квалификации в сфере осуществления закупок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0E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  <w:r w:rsidR="000E299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  <w:p w:rsidR="007C6DB4" w:rsidRPr="00D804E6" w:rsidRDefault="007C6DB4" w:rsidP="000E299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1E00C7" w:rsidRPr="00D804E6" w:rsidRDefault="000E299C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D804E6" w:rsidRDefault="000E299C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66,7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Количество муниципальных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учреждений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реорганизованных в рамках оптимизации сети учреждений бюджетного сектора экономики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единиц</w:t>
            </w:r>
          </w:p>
        </w:tc>
        <w:tc>
          <w:tcPr>
            <w:tcW w:w="1545" w:type="dxa"/>
          </w:tcPr>
          <w:p w:rsidR="001E00C7" w:rsidRPr="00D804E6" w:rsidRDefault="001C4518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1290" w:type="dxa"/>
          </w:tcPr>
          <w:p w:rsidR="001E00C7" w:rsidRPr="00D804E6" w:rsidRDefault="00AE54A6" w:rsidP="0059135C">
            <w:pPr>
              <w:widowControl w:val="0"/>
              <w:tabs>
                <w:tab w:val="left" w:pos="476"/>
                <w:tab w:val="center" w:pos="537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ab/>
              <w:t>1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D804E6" w:rsidRDefault="00AE54A6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5.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работников муниципальных учреждений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заключивших "эффективный контракт", в общей численности работников муниципальных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учреждений 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сферах: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культуры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D804E6" w:rsidRDefault="00D014B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D804E6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D804E6" w:rsidRDefault="001E4233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6.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Предельная доля оплаты труда работников административно-управленческого и вспомогательного персонала в фонде оплаты труда муниципальных учреждений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округа  в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сферах: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 более 40</w:t>
            </w:r>
          </w:p>
        </w:tc>
        <w:tc>
          <w:tcPr>
            <w:tcW w:w="1290" w:type="dxa"/>
          </w:tcPr>
          <w:p w:rsidR="001E00C7" w:rsidRPr="00D804E6" w:rsidRDefault="00541CD8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1402" w:type="dxa"/>
            <w:gridSpan w:val="3"/>
          </w:tcPr>
          <w:p w:rsidR="001E00C7" w:rsidRPr="00D804E6" w:rsidRDefault="00541CD8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38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культуры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</w:t>
            </w:r>
          </w:p>
        </w:tc>
        <w:tc>
          <w:tcPr>
            <w:tcW w:w="8679" w:type="dxa"/>
            <w:gridSpan w:val="7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7. «ПОВЫШЕНИЕ ЭФФЕКТИВНОСТИ ОКАЗАНИЯ МУНИЦИПАЛЬНЫХ УСЛУГ (ВЫПОЛНЯЕМЫХ РАБОТ)»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40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утвержденного Порядка формирования и ведения ведомственных перечней муниципальных услуг (работ), оказываемых (выполняемых) муниципальными учреждениями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утвержденных ведомственных перечней муниципальных услуг (работ), оказываемых (выполняемых) муниципальными учреждениями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качестве основных видов деятельности, разработанных в соответствии с базовыми (отраслевыми) перечнями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42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3.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утвержденных нормативов затрат на оказание муниципальных услуг (работ) в соответствующих сферах деятельности для муниципальных услуг (работ),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включенных в ведомственные перечни, разработанные в соответствии с базовыми (отраслевыми) перечнями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срок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261B7F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43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4.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Наличие Порядка разработки, утверждения и применения стандартов качества предоставления муниципальных услуг (работ)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срок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44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5.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результатов мониторинга оказания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планов по решению выявленных проблем в сферах образования, культуры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45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7.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начислений администратора доходов, переданных в государственную информационную систему о государственных и муниципальных платежах, к общему количеству начислений администрируемых неналоговых доходов, подлежащих передаче в государственную информационную систему о государственных и муниципальных платежах 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D804E6" w:rsidRDefault="00BD6CCE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99,2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D804E6" w:rsidRDefault="00BD6CCE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99,2</w:t>
            </w:r>
          </w:p>
        </w:tc>
      </w:tr>
      <w:tr w:rsidR="001E00C7" w:rsidRPr="00D804E6">
        <w:tc>
          <w:tcPr>
            <w:tcW w:w="1134" w:type="dxa"/>
          </w:tcPr>
          <w:p w:rsidR="004217F7" w:rsidRPr="00D804E6" w:rsidRDefault="004217F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8. Независимая оценка соответствия качества фактически предоставленных муниципальных услуг утвержденным требованиям к качеству оказания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47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Целевой показатель 10.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Уровень удовлетворенности граждан качеством предоставления муниципальных услуг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362599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290" w:type="dxa"/>
          </w:tcPr>
          <w:p w:rsidR="001E00C7" w:rsidRPr="00D804E6" w:rsidRDefault="00FC2CF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85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</w:t>
            </w:r>
          </w:p>
        </w:tc>
        <w:tc>
          <w:tcPr>
            <w:tcW w:w="8679" w:type="dxa"/>
            <w:gridSpan w:val="7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8. «ПОВЫШЕНИЕ ЭФФЕКТИВНОСТИ ДЕЯТЕЛЬНОСТИ ОРГАНОВ МЕСТНОГО САМОУПРАВЛЕНИЯ ВЕРХНЕСАЛДИНСКОГО ГОРОДСКОГО ОКРУГА»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49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1.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главных распорядителей средств местного бюджета - исполнительных органов муниципальной власти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в отношении которых осуществляется оценка качества финансового менеджмента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50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Наличие актуального Порядка проведения мониторинга качества финансового менеджмента, осуществляемого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главными распорядителями средств местного бюджета - исполнительными органами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муниципальной  власти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rPr>
          <w:trHeight w:val="3436"/>
        </w:trPr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51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3. </w:t>
            </w: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Доля муниципальных служащих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округа, прошедших обучение по программам дополнительного профессионального образования, в том числе по программам, включающим в себя вопросы повышения эффективности бюджетных расходов, от общего количества муниципальных служащих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процентов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25</w:t>
            </w:r>
          </w:p>
        </w:tc>
        <w:tc>
          <w:tcPr>
            <w:tcW w:w="1290" w:type="dxa"/>
          </w:tcPr>
          <w:p w:rsidR="001E00C7" w:rsidRPr="00D804E6" w:rsidRDefault="00883B9C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48,3</w:t>
            </w:r>
          </w:p>
          <w:p w:rsidR="00790395" w:rsidRPr="00D804E6" w:rsidRDefault="00790395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1402" w:type="dxa"/>
            <w:gridSpan w:val="3"/>
          </w:tcPr>
          <w:p w:rsidR="001E00C7" w:rsidRPr="00D804E6" w:rsidRDefault="00883B9C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193,2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54</w:t>
            </w:r>
          </w:p>
        </w:tc>
        <w:tc>
          <w:tcPr>
            <w:tcW w:w="8679" w:type="dxa"/>
            <w:gridSpan w:val="7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Задача 9. «ОБЕСПЕЧЕНИЕ ОТКРЫТОСТИ И ПРОЗРАЧНОСТИ МУНИЦИПАЛЬНЫХ ФИНАНСОВ ВЕРХНЕСАЛДИНСКОГО ГОРОДСКОГО ОКРУГА»</w:t>
            </w:r>
          </w:p>
        </w:tc>
      </w:tr>
      <w:tr w:rsidR="001E00C7" w:rsidRPr="00D804E6">
        <w:tc>
          <w:tcPr>
            <w:tcW w:w="1134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55</w:t>
            </w:r>
          </w:p>
        </w:tc>
        <w:tc>
          <w:tcPr>
            <w:tcW w:w="297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Целевой показатель 2. Представление жителям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местного бюджета и отчета о его исполнении в доступной форме ("Бюджет для граждан")</w:t>
            </w:r>
          </w:p>
        </w:tc>
        <w:tc>
          <w:tcPr>
            <w:tcW w:w="146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  <w:tc>
          <w:tcPr>
            <w:tcW w:w="1545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290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да</w:t>
            </w:r>
          </w:p>
        </w:tc>
        <w:tc>
          <w:tcPr>
            <w:tcW w:w="1402" w:type="dxa"/>
            <w:gridSpan w:val="3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100</w:t>
            </w:r>
          </w:p>
        </w:tc>
      </w:tr>
    </w:tbl>
    <w:p w:rsidR="001E00C7" w:rsidRPr="00D804E6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D804E6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D804E6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0"/>
          <w:szCs w:val="20"/>
          <w:u w:val="single"/>
          <w:bdr w:val="none" w:sz="0" w:space="0" w:color="auto" w:frame="1"/>
        </w:rPr>
      </w:pPr>
    </w:p>
    <w:p w:rsidR="001E00C7" w:rsidRPr="00D804E6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D804E6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D804E6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D804E6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D804E6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D804E6" w:rsidRDefault="001E00C7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D804E6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D804E6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D804E6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D804E6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D804E6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BC017A" w:rsidRPr="00D804E6" w:rsidRDefault="00BC017A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</w:p>
    <w:p w:rsidR="001E00C7" w:rsidRPr="00D804E6" w:rsidRDefault="001E00C7" w:rsidP="0001306B">
      <w:pPr>
        <w:spacing w:line="215" w:lineRule="atLeast"/>
        <w:ind w:left="-142" w:right="3057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  <w:r w:rsidRPr="00D804E6"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  <w:lastRenderedPageBreak/>
        <w:t xml:space="preserve">Форма 3 </w:t>
      </w:r>
    </w:p>
    <w:p w:rsidR="001E00C7" w:rsidRPr="00D804E6" w:rsidRDefault="001E00C7" w:rsidP="00253F1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0"/>
          <w:szCs w:val="20"/>
        </w:rPr>
      </w:pP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Выполнение плана мероприятий </w:t>
      </w:r>
      <w:r w:rsidRPr="00D804E6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</w:p>
    <w:p w:rsidR="001E00C7" w:rsidRPr="00D804E6" w:rsidRDefault="003D2D66" w:rsidP="00253F1D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333333"/>
          <w:kern w:val="36"/>
          <w:sz w:val="28"/>
          <w:szCs w:val="28"/>
        </w:rPr>
      </w:pP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з</w:t>
      </w:r>
      <w:r w:rsidR="001E00C7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а</w:t>
      </w: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="001E00C7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8D24A6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="001E00C7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37"/>
        <w:gridCol w:w="3287"/>
        <w:gridCol w:w="1556"/>
        <w:gridCol w:w="1517"/>
        <w:gridCol w:w="2056"/>
      </w:tblGrid>
      <w:tr w:rsidR="001E00C7" w:rsidRPr="00D804E6">
        <w:trPr>
          <w:trHeight w:val="201"/>
        </w:trPr>
        <w:tc>
          <w:tcPr>
            <w:tcW w:w="1437" w:type="dxa"/>
            <w:vMerge w:val="restart"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№</w:t>
            </w:r>
          </w:p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строки мероприятия</w:t>
            </w:r>
          </w:p>
        </w:tc>
        <w:tc>
          <w:tcPr>
            <w:tcW w:w="3287" w:type="dxa"/>
            <w:vMerge w:val="restart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Наименование плановых мероприятий</w:t>
            </w:r>
          </w:p>
        </w:tc>
        <w:tc>
          <w:tcPr>
            <w:tcW w:w="3073" w:type="dxa"/>
            <w:gridSpan w:val="2"/>
            <w:tcBorders>
              <w:bottom w:val="single" w:sz="4" w:space="0" w:color="auto"/>
            </w:tcBorders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Финансирование мероприятий - всего и с выделением источников</w:t>
            </w:r>
          </w:p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финансирования (тыс. рублей)</w:t>
            </w:r>
          </w:p>
        </w:tc>
        <w:tc>
          <w:tcPr>
            <w:tcW w:w="2056" w:type="dxa"/>
            <w:vMerge w:val="restart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Фактическое исполнение плановых мероприятий</w:t>
            </w:r>
            <w:r w:rsidR="00217BA8" w:rsidRPr="00D804E6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 xml:space="preserve"> (%)</w:t>
            </w:r>
          </w:p>
        </w:tc>
      </w:tr>
      <w:tr w:rsidR="001E00C7" w:rsidRPr="00D804E6">
        <w:trPr>
          <w:trHeight w:val="488"/>
        </w:trPr>
        <w:tc>
          <w:tcPr>
            <w:tcW w:w="1437" w:type="dxa"/>
            <w:vMerge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</w:p>
        </w:tc>
        <w:tc>
          <w:tcPr>
            <w:tcW w:w="3287" w:type="dxa"/>
            <w:vMerge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</w:p>
        </w:tc>
        <w:tc>
          <w:tcPr>
            <w:tcW w:w="1556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планируемое на текущий год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E00C7" w:rsidRPr="00D804E6" w:rsidRDefault="001E00C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242424"/>
                <w:sz w:val="20"/>
                <w:szCs w:val="20"/>
                <w:lang w:eastAsia="en-US"/>
              </w:rPr>
              <w:t>фактическое за отчетный период</w:t>
            </w:r>
          </w:p>
        </w:tc>
        <w:tc>
          <w:tcPr>
            <w:tcW w:w="2056" w:type="dxa"/>
            <w:vMerge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</w:p>
        </w:tc>
      </w:tr>
      <w:tr w:rsidR="006C7016" w:rsidRPr="00D804E6">
        <w:tc>
          <w:tcPr>
            <w:tcW w:w="1437" w:type="dxa"/>
          </w:tcPr>
          <w:p w:rsidR="006C7016" w:rsidRPr="00D804E6" w:rsidRDefault="006C7016" w:rsidP="006C7016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3287" w:type="dxa"/>
          </w:tcPr>
          <w:p w:rsidR="006C7016" w:rsidRPr="00D804E6" w:rsidRDefault="006C7016" w:rsidP="006C7016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Мероприятие 1. «Профессиональная подготовка, переподготовка и повышение квалификации муниципальных служащих и лиц, замещающих муниципальные должности 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округе  (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по программам, включающим в себя вопросы повышения эффективности бюджетных расходов)»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6C7016" w:rsidRPr="00D804E6" w:rsidRDefault="006C7016" w:rsidP="006C7016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469,5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6C7016" w:rsidRPr="00D804E6" w:rsidRDefault="006C7016" w:rsidP="006C70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363,3</w:t>
            </w:r>
          </w:p>
        </w:tc>
        <w:tc>
          <w:tcPr>
            <w:tcW w:w="2056" w:type="dxa"/>
            <w:vAlign w:val="center"/>
          </w:tcPr>
          <w:p w:rsidR="006C7016" w:rsidRPr="00D804E6" w:rsidRDefault="006C7016" w:rsidP="006C7016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77,4</w:t>
            </w:r>
          </w:p>
        </w:tc>
      </w:tr>
      <w:tr w:rsidR="00217BA8" w:rsidRPr="00D804E6">
        <w:tc>
          <w:tcPr>
            <w:tcW w:w="1437" w:type="dxa"/>
          </w:tcPr>
          <w:p w:rsidR="00217BA8" w:rsidRPr="00D804E6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3287" w:type="dxa"/>
          </w:tcPr>
          <w:p w:rsidR="00217BA8" w:rsidRPr="00D804E6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8"/>
                <w:szCs w:val="28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  <w:vAlign w:val="center"/>
          </w:tcPr>
          <w:p w:rsidR="00217BA8" w:rsidRPr="00D804E6" w:rsidRDefault="006C7016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color w:val="151515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469,5</w:t>
            </w:r>
          </w:p>
        </w:tc>
        <w:tc>
          <w:tcPr>
            <w:tcW w:w="1517" w:type="dxa"/>
            <w:tcBorders>
              <w:left w:val="single" w:sz="4" w:space="0" w:color="auto"/>
            </w:tcBorders>
            <w:vAlign w:val="center"/>
          </w:tcPr>
          <w:p w:rsidR="00217BA8" w:rsidRPr="00D804E6" w:rsidRDefault="006C7016" w:rsidP="00217B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363,3</w:t>
            </w:r>
          </w:p>
        </w:tc>
        <w:tc>
          <w:tcPr>
            <w:tcW w:w="2056" w:type="dxa"/>
            <w:vAlign w:val="center"/>
          </w:tcPr>
          <w:p w:rsidR="00217BA8" w:rsidRPr="00D804E6" w:rsidRDefault="006C7016" w:rsidP="00217BA8">
            <w:pPr>
              <w:spacing w:after="0" w:line="240" w:lineRule="auto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77,4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8416" w:type="dxa"/>
            <w:gridSpan w:val="4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328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D804E6" w:rsidRDefault="003818FD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356,9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D804E6" w:rsidRDefault="001C5CAD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281,7</w:t>
            </w:r>
          </w:p>
        </w:tc>
        <w:tc>
          <w:tcPr>
            <w:tcW w:w="2056" w:type="dxa"/>
          </w:tcPr>
          <w:p w:rsidR="001E00C7" w:rsidRPr="00D804E6" w:rsidRDefault="001C5CAD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78</w:t>
            </w:r>
            <w:r w:rsidR="00CB0625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,9</w:t>
            </w:r>
          </w:p>
        </w:tc>
      </w:tr>
      <w:tr w:rsidR="00217BA8" w:rsidRPr="00D804E6">
        <w:tc>
          <w:tcPr>
            <w:tcW w:w="1437" w:type="dxa"/>
          </w:tcPr>
          <w:p w:rsidR="00217BA8" w:rsidRPr="00D804E6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3287" w:type="dxa"/>
          </w:tcPr>
          <w:p w:rsidR="00217BA8" w:rsidRPr="00D804E6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D804E6" w:rsidRDefault="003818FD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356,9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D804E6" w:rsidRDefault="001C5CAD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281,7</w:t>
            </w:r>
          </w:p>
        </w:tc>
        <w:tc>
          <w:tcPr>
            <w:tcW w:w="2056" w:type="dxa"/>
          </w:tcPr>
          <w:p w:rsidR="00217BA8" w:rsidRPr="00D804E6" w:rsidRDefault="001C5CAD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78</w:t>
            </w:r>
            <w:r w:rsidR="00CB0625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,9</w:t>
            </w:r>
          </w:p>
          <w:p w:rsidR="00FD3D4B" w:rsidRPr="00D804E6" w:rsidRDefault="00FD3D4B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8416" w:type="dxa"/>
            <w:gridSpan w:val="4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Управление культуры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D804E6">
        <w:trPr>
          <w:trHeight w:val="350"/>
        </w:trPr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328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D804E6" w:rsidRDefault="004179CA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D804E6" w:rsidRDefault="00B138E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2056" w:type="dxa"/>
          </w:tcPr>
          <w:p w:rsidR="001E00C7" w:rsidRPr="00D804E6" w:rsidRDefault="004179CA" w:rsidP="004179CA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100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328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D804E6" w:rsidRDefault="004179CA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D804E6" w:rsidRDefault="00B138E4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2,8</w:t>
            </w:r>
          </w:p>
        </w:tc>
        <w:tc>
          <w:tcPr>
            <w:tcW w:w="2056" w:type="dxa"/>
          </w:tcPr>
          <w:p w:rsidR="001E00C7" w:rsidRPr="00D804E6" w:rsidRDefault="004179CA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  <w:r w:rsidR="001E00C7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8416" w:type="dxa"/>
            <w:gridSpan w:val="4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Управление образования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328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328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8416" w:type="dxa"/>
            <w:gridSpan w:val="4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Комитет по управлению имуществом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328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D804E6" w:rsidRDefault="003818FD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25,0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D804E6" w:rsidRDefault="00CD43C2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16,</w:t>
            </w:r>
            <w:r w:rsidR="009401F4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D804E6" w:rsidRDefault="00CD43C2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64,0</w:t>
            </w:r>
          </w:p>
        </w:tc>
      </w:tr>
      <w:tr w:rsidR="00217BA8" w:rsidRPr="00D804E6">
        <w:tc>
          <w:tcPr>
            <w:tcW w:w="1437" w:type="dxa"/>
          </w:tcPr>
          <w:p w:rsidR="00217BA8" w:rsidRPr="00D804E6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3287" w:type="dxa"/>
          </w:tcPr>
          <w:p w:rsidR="00217BA8" w:rsidRPr="00D804E6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D804E6" w:rsidRDefault="003818FD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25,</w:t>
            </w:r>
            <w:r w:rsidR="009401F4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D804E6" w:rsidRDefault="00CD43C2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16,</w:t>
            </w:r>
            <w:r w:rsidR="009401F4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217BA8" w:rsidRPr="00D804E6" w:rsidRDefault="00CD43C2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64,</w:t>
            </w:r>
            <w:r w:rsidR="009401F4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8416" w:type="dxa"/>
            <w:gridSpan w:val="4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Финансовое управление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328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D804E6" w:rsidRDefault="00EE7D87" w:rsidP="00EA3CCE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D804E6" w:rsidRDefault="00EE7D87" w:rsidP="0059135C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18,3</w:t>
            </w:r>
          </w:p>
        </w:tc>
        <w:tc>
          <w:tcPr>
            <w:tcW w:w="2056" w:type="dxa"/>
          </w:tcPr>
          <w:p w:rsidR="001E00C7" w:rsidRPr="00D804E6" w:rsidRDefault="00EE7D87" w:rsidP="0059135C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4E6">
              <w:rPr>
                <w:rFonts w:ascii="Times New Roman" w:hAnsi="Times New Roman" w:cs="Times New Roman"/>
                <w:lang w:eastAsia="en-US"/>
              </w:rPr>
              <w:t>59,2</w:t>
            </w:r>
          </w:p>
        </w:tc>
      </w:tr>
      <w:tr w:rsidR="00217BA8" w:rsidRPr="00D804E6">
        <w:tc>
          <w:tcPr>
            <w:tcW w:w="1437" w:type="dxa"/>
          </w:tcPr>
          <w:p w:rsidR="00217BA8" w:rsidRPr="00D804E6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17</w:t>
            </w:r>
          </w:p>
        </w:tc>
        <w:tc>
          <w:tcPr>
            <w:tcW w:w="3287" w:type="dxa"/>
          </w:tcPr>
          <w:p w:rsidR="00217BA8" w:rsidRPr="00D804E6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D804E6" w:rsidRDefault="00EE7D87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30,9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D804E6" w:rsidRDefault="00EE7D87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18,3</w:t>
            </w:r>
          </w:p>
          <w:p w:rsidR="006C4CE0" w:rsidRPr="00D804E6" w:rsidRDefault="006C4CE0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6C4CE0" w:rsidRPr="00D804E6" w:rsidRDefault="006C4CE0" w:rsidP="00217BA8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</w:p>
          <w:p w:rsidR="00045B52" w:rsidRPr="00D804E6" w:rsidRDefault="00045B52" w:rsidP="00217BA8">
            <w:pPr>
              <w:spacing w:after="0" w:line="240" w:lineRule="auto"/>
              <w:ind w:left="113" w:right="113"/>
              <w:jc w:val="center"/>
              <w:rPr>
                <w:lang w:eastAsia="en-US"/>
              </w:rPr>
            </w:pPr>
          </w:p>
        </w:tc>
        <w:tc>
          <w:tcPr>
            <w:tcW w:w="2056" w:type="dxa"/>
          </w:tcPr>
          <w:p w:rsidR="00217BA8" w:rsidRPr="00D804E6" w:rsidRDefault="00EE7D87" w:rsidP="00217BA8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04E6">
              <w:rPr>
                <w:rFonts w:ascii="Times New Roman" w:hAnsi="Times New Roman" w:cs="Times New Roman"/>
                <w:lang w:eastAsia="en-US"/>
              </w:rPr>
              <w:t>59,2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8416" w:type="dxa"/>
            <w:gridSpan w:val="4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Дума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328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D804E6" w:rsidRDefault="00D9134A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D804E6" w:rsidRDefault="00AA2906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2056" w:type="dxa"/>
          </w:tcPr>
          <w:p w:rsidR="00217BA8" w:rsidRPr="00D804E6" w:rsidRDefault="00AA2906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76,4</w:t>
            </w:r>
          </w:p>
        </w:tc>
      </w:tr>
      <w:tr w:rsidR="00217BA8" w:rsidRPr="00D804E6">
        <w:tc>
          <w:tcPr>
            <w:tcW w:w="1437" w:type="dxa"/>
          </w:tcPr>
          <w:p w:rsidR="00217BA8" w:rsidRPr="00D804E6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3287" w:type="dxa"/>
          </w:tcPr>
          <w:p w:rsidR="00217BA8" w:rsidRPr="00D804E6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D804E6" w:rsidRDefault="00D9134A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39,9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D804E6" w:rsidRDefault="00AA2906" w:rsidP="00C86D36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30,5</w:t>
            </w:r>
          </w:p>
        </w:tc>
        <w:tc>
          <w:tcPr>
            <w:tcW w:w="2056" w:type="dxa"/>
          </w:tcPr>
          <w:p w:rsidR="00217BA8" w:rsidRPr="00D804E6" w:rsidRDefault="00AA2906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76,4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21</w:t>
            </w:r>
          </w:p>
        </w:tc>
        <w:tc>
          <w:tcPr>
            <w:tcW w:w="8416" w:type="dxa"/>
            <w:gridSpan w:val="4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заказчику – Счетная палата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D804E6">
        <w:tc>
          <w:tcPr>
            <w:tcW w:w="1437" w:type="dxa"/>
          </w:tcPr>
          <w:p w:rsidR="001E00C7" w:rsidRPr="00D804E6" w:rsidRDefault="001E00C7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3287" w:type="dxa"/>
          </w:tcPr>
          <w:p w:rsidR="001E00C7" w:rsidRPr="00D804E6" w:rsidRDefault="001E00C7" w:rsidP="005913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Всего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1E00C7" w:rsidRPr="00D804E6" w:rsidRDefault="00261E6C" w:rsidP="00EA3C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1E00C7" w:rsidRPr="00D804E6" w:rsidRDefault="00AB70DC" w:rsidP="0059135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</w:t>
            </w:r>
            <w:r w:rsidR="00261E6C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</w:t>
            </w: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,</w:t>
            </w:r>
            <w:r w:rsidR="00AA1F53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1E00C7" w:rsidRPr="00D804E6" w:rsidRDefault="00261E6C" w:rsidP="00261E6C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100</w:t>
            </w:r>
          </w:p>
        </w:tc>
      </w:tr>
      <w:tr w:rsidR="00217BA8" w:rsidRPr="00D804E6">
        <w:tc>
          <w:tcPr>
            <w:tcW w:w="1437" w:type="dxa"/>
          </w:tcPr>
          <w:p w:rsidR="00217BA8" w:rsidRPr="00D804E6" w:rsidRDefault="00217BA8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3287" w:type="dxa"/>
          </w:tcPr>
          <w:p w:rsidR="00217BA8" w:rsidRPr="00D804E6" w:rsidRDefault="00217BA8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том числе за счет средств местного бюджета</w:t>
            </w:r>
          </w:p>
        </w:tc>
        <w:tc>
          <w:tcPr>
            <w:tcW w:w="1556" w:type="dxa"/>
            <w:tcBorders>
              <w:right w:val="single" w:sz="4" w:space="0" w:color="auto"/>
            </w:tcBorders>
          </w:tcPr>
          <w:p w:rsidR="00217BA8" w:rsidRPr="00D804E6" w:rsidRDefault="00261E6C" w:rsidP="00217B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14,0</w:t>
            </w:r>
          </w:p>
        </w:tc>
        <w:tc>
          <w:tcPr>
            <w:tcW w:w="1517" w:type="dxa"/>
            <w:tcBorders>
              <w:left w:val="single" w:sz="4" w:space="0" w:color="auto"/>
            </w:tcBorders>
          </w:tcPr>
          <w:p w:rsidR="00217BA8" w:rsidRPr="00D804E6" w:rsidRDefault="00AB70DC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</w:t>
            </w:r>
            <w:r w:rsidR="00261E6C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4</w:t>
            </w: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,</w:t>
            </w:r>
            <w:r w:rsidR="00217BA8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2056" w:type="dxa"/>
          </w:tcPr>
          <w:p w:rsidR="00217BA8" w:rsidRPr="00D804E6" w:rsidRDefault="00261E6C" w:rsidP="00217BA8">
            <w:pPr>
              <w:spacing w:after="0" w:line="240" w:lineRule="auto"/>
              <w:ind w:left="113" w:right="-1"/>
              <w:jc w:val="center"/>
              <w:outlineLvl w:val="0"/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10</w:t>
            </w:r>
            <w:r w:rsidR="00217BA8" w:rsidRPr="00D804E6">
              <w:rPr>
                <w:rFonts w:ascii="Times New Roman" w:hAnsi="Times New Roman" w:cs="Times New Roman"/>
                <w:color w:val="333333"/>
                <w:kern w:val="36"/>
                <w:sz w:val="20"/>
                <w:szCs w:val="20"/>
                <w:lang w:eastAsia="en-US"/>
              </w:rPr>
              <w:t>0</w:t>
            </w:r>
          </w:p>
        </w:tc>
      </w:tr>
      <w:bookmarkEnd w:id="1"/>
    </w:tbl>
    <w:p w:rsidR="001E00C7" w:rsidRPr="00D804E6" w:rsidRDefault="001E00C7" w:rsidP="0001306B">
      <w:pPr>
        <w:spacing w:after="136" w:line="215" w:lineRule="atLeast"/>
        <w:ind w:left="3057" w:right="3057"/>
        <w:rPr>
          <w:rFonts w:ascii="Times New Roman" w:hAnsi="Times New Roman" w:cs="Times New Roman"/>
          <w:color w:val="242424"/>
          <w:sz w:val="28"/>
          <w:szCs w:val="28"/>
        </w:rPr>
      </w:pPr>
    </w:p>
    <w:p w:rsidR="001E00C7" w:rsidRPr="00D804E6" w:rsidRDefault="001E00C7" w:rsidP="0001306B">
      <w:pPr>
        <w:rPr>
          <w:rFonts w:ascii="Times New Roman" w:hAnsi="Times New Roman" w:cs="Times New Roman"/>
          <w:color w:val="242424"/>
          <w:sz w:val="28"/>
          <w:szCs w:val="28"/>
        </w:rPr>
        <w:sectPr w:rsidR="001E00C7" w:rsidRPr="00D804E6" w:rsidSect="00CA33B5">
          <w:headerReference w:type="default" r:id="rId7"/>
          <w:pgSz w:w="11906" w:h="16838"/>
          <w:pgMar w:top="1134" w:right="851" w:bottom="1134" w:left="1418" w:header="709" w:footer="709" w:gutter="0"/>
          <w:cols w:space="720"/>
          <w:titlePg/>
          <w:docGrid w:linePitch="299"/>
        </w:sectPr>
      </w:pPr>
    </w:p>
    <w:p w:rsidR="001E00C7" w:rsidRPr="00D804E6" w:rsidRDefault="001E00C7" w:rsidP="0001306B">
      <w:pPr>
        <w:spacing w:after="136" w:line="215" w:lineRule="atLeast"/>
        <w:ind w:right="3057"/>
        <w:rPr>
          <w:rFonts w:ascii="Times New Roman" w:hAnsi="Times New Roman" w:cs="Times New Roman"/>
          <w:color w:val="242424"/>
          <w:sz w:val="28"/>
          <w:szCs w:val="28"/>
        </w:rPr>
      </w:pPr>
      <w:r w:rsidRPr="00D804E6">
        <w:rPr>
          <w:rFonts w:ascii="Times New Roman" w:hAnsi="Times New Roman" w:cs="Times New Roman"/>
          <w:color w:val="242424"/>
          <w:sz w:val="28"/>
          <w:szCs w:val="28"/>
        </w:rPr>
        <w:lastRenderedPageBreak/>
        <w:t>Форма 4</w:t>
      </w:r>
    </w:p>
    <w:p w:rsidR="001E00C7" w:rsidRPr="00D804E6" w:rsidRDefault="001E00C7" w:rsidP="001540C2">
      <w:pPr>
        <w:spacing w:after="0" w:line="240" w:lineRule="auto"/>
        <w:jc w:val="center"/>
        <w:outlineLvl w:val="0"/>
        <w:rPr>
          <w:rFonts w:ascii="Times New Roman" w:hAnsi="Times New Roman" w:cs="Times New Roman"/>
          <w:color w:val="1D85B3"/>
          <w:sz w:val="28"/>
          <w:szCs w:val="28"/>
          <w:u w:val="single"/>
          <w:bdr w:val="none" w:sz="0" w:space="0" w:color="auto" w:frame="1"/>
        </w:rPr>
      </w:pP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Выполнение детализированного плана мероприятий </w:t>
      </w:r>
      <w:r w:rsidRPr="00D804E6">
        <w:rPr>
          <w:rFonts w:ascii="Times New Roman" w:hAnsi="Times New Roman" w:cs="Times New Roman"/>
          <w:color w:val="333333"/>
          <w:kern w:val="36"/>
          <w:sz w:val="20"/>
          <w:szCs w:val="20"/>
        </w:rPr>
        <w:t>(ежеквартально нарастающим итогом) </w:t>
      </w: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за</w:t>
      </w:r>
      <w:r w:rsidR="005F0853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</w:t>
      </w: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201</w:t>
      </w:r>
      <w:r w:rsidR="003117EB"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>8</w:t>
      </w:r>
      <w:r w:rsidRPr="00D804E6">
        <w:rPr>
          <w:rFonts w:ascii="Times New Roman" w:hAnsi="Times New Roman" w:cs="Times New Roman"/>
          <w:color w:val="333333"/>
          <w:kern w:val="36"/>
          <w:sz w:val="28"/>
          <w:szCs w:val="28"/>
        </w:rPr>
        <w:t xml:space="preserve"> год</w:t>
      </w:r>
    </w:p>
    <w:tbl>
      <w:tblPr>
        <w:tblW w:w="1495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2"/>
        <w:gridCol w:w="6946"/>
        <w:gridCol w:w="7017"/>
      </w:tblGrid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tabs>
                <w:tab w:val="left" w:pos="41"/>
                <w:tab w:val="left" w:pos="777"/>
              </w:tabs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строки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Наименование планового показателя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ind w:right="-172"/>
              <w:jc w:val="center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Информация об исполнении мероприятия и достижения непосредственных показателей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Подготовка прогнозов социально-экономического развития Свердловской области на среднесрочную перспективу</w:t>
            </w:r>
          </w:p>
        </w:tc>
        <w:tc>
          <w:tcPr>
            <w:tcW w:w="7017" w:type="dxa"/>
          </w:tcPr>
          <w:p w:rsidR="001E00C7" w:rsidRPr="00D804E6" w:rsidRDefault="00793FA8" w:rsidP="00DC21EA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Прогноз</w:t>
            </w:r>
            <w:r w:rsidR="00DC21EA"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подготовлен к 01.07.2018г. </w:t>
            </w: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и направлен в Министерство экономики</w:t>
            </w:r>
            <w:r w:rsidR="00DC21EA"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и территориального развития Свердловской области (исх. от 06.07.2018 № 11/01-21/3733)</w:t>
            </w:r>
            <w:r w:rsidR="00B16054" w:rsidRPr="00D804E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Направление на погашение долговых обязательств не более 10 процентов годового объема налоговых, неналоговых доходов местного бюджета без учета безвозмездных поступлений</w:t>
            </w:r>
          </w:p>
        </w:tc>
        <w:tc>
          <w:tcPr>
            <w:tcW w:w="7017" w:type="dxa"/>
          </w:tcPr>
          <w:p w:rsidR="001E00C7" w:rsidRPr="00D804E6" w:rsidRDefault="00547EAE" w:rsidP="00B9455A">
            <w:pPr>
              <w:spacing w:after="0" w:line="240" w:lineRule="auto"/>
              <w:ind w:left="34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</w:t>
            </w:r>
            <w:r w:rsidR="00B9455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 году</w:t>
            </w:r>
            <w:r w:rsidR="00ED354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погашение муниципального долга направлено </w:t>
            </w:r>
            <w:r w:rsidR="00193B4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</w:t>
            </w:r>
            <w:r w:rsidR="00B9455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8 596,1</w:t>
            </w:r>
            <w:r w:rsidR="00ED354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 из них основной долг составляет </w:t>
            </w:r>
            <w:r w:rsidR="00B9455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16 174,2</w:t>
            </w:r>
            <w:r w:rsidR="00ED354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</w:t>
            </w:r>
            <w:r w:rsidR="00AF402F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проценты по кредитам</w:t>
            </w:r>
            <w:r w:rsidR="001549D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–</w:t>
            </w:r>
            <w:r w:rsidR="001549D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B9455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2 421,9 тыс. руб., что составляет 4,5</w:t>
            </w:r>
            <w:r w:rsidR="00ED354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% от налоговых и неналоговых доходов бюджета городского округа.</w:t>
            </w:r>
          </w:p>
        </w:tc>
      </w:tr>
      <w:tr w:rsidR="001E00C7" w:rsidRPr="00D804E6" w:rsidTr="00F23BE2">
        <w:trPr>
          <w:trHeight w:val="1189"/>
        </w:trPr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6946" w:type="dxa"/>
          </w:tcPr>
          <w:p w:rsidR="001E00C7" w:rsidRPr="00D804E6" w:rsidRDefault="001E00C7" w:rsidP="00E23DC2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</w:t>
            </w:r>
            <w:r w:rsidR="00E23DC2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готовка программы муниципальных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внутренних заимствований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D804E6" w:rsidRDefault="001E00C7" w:rsidP="003117EB">
            <w:pPr>
              <w:spacing w:after="0" w:line="240" w:lineRule="auto"/>
              <w:ind w:left="33" w:right="113" w:firstLine="8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Программа муниципальных внутренних заимствований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</w:t>
            </w:r>
            <w:r w:rsidR="003117E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нского</w:t>
            </w:r>
            <w:proofErr w:type="spellEnd"/>
            <w:r w:rsidR="003117E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2018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утверждена реше</w:t>
            </w:r>
            <w:r w:rsidR="00AD72B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нием Думы городского округа от</w:t>
            </w:r>
            <w:r w:rsidR="003117E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20</w:t>
            </w:r>
            <w:r w:rsidR="00E23DC2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декабря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</w:t>
            </w:r>
            <w:r w:rsidR="00E23DC2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 года</w:t>
            </w:r>
            <w:r w:rsidR="003117E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 36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«Об утверждении бюджета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</w:t>
            </w:r>
            <w:r w:rsidR="003117E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и плановый период 201</w:t>
            </w:r>
            <w:r w:rsidR="003117E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9-2020 годов».</w:t>
            </w:r>
            <w:r w:rsidR="00234B5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Большая част выполнена на 100 %.</w:t>
            </w:r>
          </w:p>
        </w:tc>
      </w:tr>
      <w:tr w:rsidR="001E00C7" w:rsidRPr="00D804E6">
        <w:trPr>
          <w:trHeight w:val="64"/>
        </w:trPr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Выполнение задач, предусмотренных Указами Президента Российской Федерации от 07 мая 2012 года</w:t>
            </w:r>
          </w:p>
        </w:tc>
        <w:tc>
          <w:tcPr>
            <w:tcW w:w="7017" w:type="dxa"/>
          </w:tcPr>
          <w:p w:rsidR="001E00C7" w:rsidRPr="00D804E6" w:rsidRDefault="006338CE" w:rsidP="004E0F6B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нформация о выполнении задач, предусмотренных Указами Президента Российской Федерац</w:t>
            </w:r>
            <w:r w:rsidR="00E0305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ии от 07 мая 2012 года № 596-602,606 за </w:t>
            </w:r>
            <w:r w:rsidR="004E0F6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9 месяцев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2018</w:t>
            </w:r>
            <w:r w:rsidR="005A31F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 направлена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администрацией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Управляющему Горнозаводским</w:t>
            </w:r>
            <w:r w:rsidR="004E0F6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</w:t>
            </w:r>
            <w:r w:rsidR="00BF541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угом, за 2018 год срок напр</w:t>
            </w:r>
            <w:r w:rsidR="005A066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="00BF541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вления инф. установлен 20.02.2019г.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оценки эффективности муниципальных программ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D804E6" w:rsidRDefault="001E00C7" w:rsidP="001E44CE">
            <w:pPr>
              <w:autoSpaceDE w:val="0"/>
              <w:autoSpaceDN w:val="0"/>
              <w:adjustRightInd w:val="0"/>
              <w:spacing w:after="0" w:line="240" w:lineRule="auto"/>
              <w:ind w:right="113" w:firstLine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Оценка </w:t>
            </w:r>
            <w:r w:rsidR="00FB2AD6"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эффективности реализации муниципальных программ проводится за отчетный год, таким образом оценка проведена </w:t>
            </w:r>
            <w:r w:rsidR="003117EB" w:rsidRPr="00D804E6">
              <w:rPr>
                <w:rFonts w:ascii="Times New Roman" w:hAnsi="Times New Roman" w:cs="Times New Roman"/>
                <w:sz w:val="20"/>
                <w:szCs w:val="20"/>
              </w:rPr>
              <w:t>за 2017</w:t>
            </w:r>
            <w:r w:rsidR="001E44CE"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год. </w:t>
            </w: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Информация направлена в адрес главы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и размещена на официальном сайте городского округа </w:t>
            </w:r>
            <w:hyperlink r:id="rId8" w:history="1">
              <w:r w:rsidR="001E44CE" w:rsidRPr="00D804E6">
                <w:rPr>
                  <w:rStyle w:val="a4"/>
                  <w:rFonts w:ascii="Times New Roman" w:hAnsi="Times New Roman" w:cs="Times New Roman"/>
                  <w:sz w:val="20"/>
                  <w:szCs w:val="20"/>
                </w:rPr>
                <w:t>http://v-salda.ru/ekonomika/munitsipalnye-programmy/otchet-ob-ispolnenii/</w:t>
              </w:r>
            </w:hyperlink>
            <w:r w:rsidR="001E44CE" w:rsidRPr="00D804E6">
              <w:rPr>
                <w:rFonts w:ascii="Times New Roman" w:hAnsi="Times New Roman" w:cs="Times New Roman"/>
                <w:sz w:val="20"/>
                <w:szCs w:val="20"/>
              </w:rPr>
              <w:t>. За 2018 год оценка эффективности реализации муниципальных программ будет проведена и размещена до 01.04.2019 года на указанном сайте.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Поддержание в актуальном состоянии Порядка формирования и реализации муниципальных программ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Порядок формирования и реализации муниципальных программ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утвержден постановлением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№ 1154 от 06.04.2015 «Об утверждении Порядка формирования и реализации муниципальных программ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  <w:r w:rsidR="00EB6542"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(в редакции от 28.09.2018 № 2594)</w:t>
            </w:r>
            <w:r w:rsidR="00E03058"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и размещен на официальном сайте </w:t>
            </w:r>
            <w:proofErr w:type="spellStart"/>
            <w:r w:rsidR="00E03058"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E03058"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округа.</w:t>
            </w:r>
          </w:p>
        </w:tc>
      </w:tr>
      <w:tr w:rsidR="001E00C7" w:rsidRPr="00D804E6" w:rsidTr="001F5D04">
        <w:trPr>
          <w:trHeight w:val="303"/>
        </w:trPr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Включение в муниципальные программы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показателей муниципальных заданий</w:t>
            </w:r>
          </w:p>
        </w:tc>
        <w:tc>
          <w:tcPr>
            <w:tcW w:w="7017" w:type="dxa"/>
          </w:tcPr>
          <w:p w:rsidR="00D80943" w:rsidRPr="00D804E6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Показатели муниципальных заданий включены в три муниципальные программы:</w:t>
            </w:r>
            <w:r w:rsidRPr="00D804E6">
              <w:rPr>
                <w:lang w:eastAsia="en-US"/>
              </w:rPr>
              <w:t xml:space="preserve">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«Развитие системы образования 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 до 2021 года»; "Развитие культуры 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 до 2021 года";</w:t>
            </w:r>
            <w:r w:rsidRPr="00D804E6">
              <w:rPr>
                <w:lang w:eastAsia="en-US"/>
              </w:rPr>
              <w:t xml:space="preserve">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"Реализация и развитие муниципального управления 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округе"</w:t>
            </w:r>
            <w:r w:rsidR="006412E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; Муниципальная программа </w:t>
            </w:r>
            <w:r w:rsidR="006412E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«Восстановление и развитие объектов внешнего благоустройства </w:t>
            </w:r>
            <w:proofErr w:type="spellStart"/>
            <w:r w:rsidR="006412E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6412E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до 2021 года», подпрограмма «Обеспечение деятельности муниципального бюджетного учреждения «Служба городского хозяйства».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8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Планирование расходов местного бюджета преимущественно в программной структуре</w:t>
            </w:r>
          </w:p>
        </w:tc>
        <w:tc>
          <w:tcPr>
            <w:tcW w:w="7017" w:type="dxa"/>
          </w:tcPr>
          <w:p w:rsidR="001E00C7" w:rsidRPr="00D804E6" w:rsidRDefault="001E00C7" w:rsidP="00BE3318">
            <w:pPr>
              <w:tabs>
                <w:tab w:val="left" w:pos="6807"/>
              </w:tabs>
              <w:spacing w:after="0" w:line="215" w:lineRule="atLeast"/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Бюджет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</w:t>
            </w:r>
            <w:r w:rsidR="009E4AB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руга на 2018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сформирован в программной структуре: объем расхо</w:t>
            </w:r>
            <w:r w:rsidR="00E0305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дов, сформированных в рамках 2</w:t>
            </w:r>
            <w:r w:rsidR="00BE331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программ</w:t>
            </w:r>
            <w:r w:rsidR="00044992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утвержден в сумме 1</w:t>
            </w:r>
            <w:r w:rsidR="008773EE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 262 355,3</w:t>
            </w:r>
            <w:r w:rsidR="005A38D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тыс. руб., что составляет 99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% к общему объему расходов бюджета на 201</w:t>
            </w:r>
            <w:r w:rsidR="009E4AB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="0048394F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мониторинга и анализа системы контроля в сфере закупок товаров, работ, услуг для обеспечения муниципальных нужд</w:t>
            </w:r>
          </w:p>
        </w:tc>
        <w:tc>
          <w:tcPr>
            <w:tcW w:w="7017" w:type="dxa"/>
          </w:tcPr>
          <w:p w:rsidR="00254109" w:rsidRPr="00D804E6" w:rsidRDefault="00BE3318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 </w:t>
            </w:r>
            <w:r w:rsidR="002541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 в сфере закупок товаров, работ, услуг для обеспечения муниципальных нужд осуществляется в соответствии с Административным регламентом, утвержденного постановлением администрации </w:t>
            </w:r>
            <w:proofErr w:type="spellStart"/>
            <w:r w:rsidR="002541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2541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22.07.2014 № 2375 «Об утверждении Административного регламента исполнения Финансовым управлением администрации </w:t>
            </w:r>
            <w:proofErr w:type="spellStart"/>
            <w:r w:rsidR="002541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2541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муниципальной функции по осуществлению контроля в сфере закупок товаров, работ, услуг путем проведения плановых и внеплановых проверок».   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 С 01.01.2017 в связи с введением новой функции по контролю за исполнением 44 ФЗ ведется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контроль  в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соответствии с  ч.5 ст.99 Федерального закона. Осуществлено 1434 контрольных мероприятий. 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В соответствии с ч.3 п.3. ст.99 44 ФЗ проведены проверки в: 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 «ЦБ»;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МКДОУ «Детский сад № 28 «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Гусельки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 ДО «ДШИ»;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МБДОУ «Детский сад № 7 «Мишутка»;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МБОУ ОШИ № 9;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МУП «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Гор.УЖКХ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МКДОУ «Детский сад №21 «Василек»;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Дума городского округа;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Счетная палата ВСГО;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Администрация ВСГО;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МБДОУ «Детский сад № 41 «Петушок»;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МБДОУ «Детский сад № 1 «Солнышко».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В соответствии с ч.8 ст.99 44 ФЗ проведена проверка в: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МБУ «ЦБ»;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МКУ «Управление гражданской защиты ВСГО»;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МКДОУ «Детский сад №29 «Теремок»;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МКДОУ «Детский сад №21 «Василек»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МБДОУ «Детский сад № 6 «Красная шапочка»;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МБДОУ «Детский сад № 7 «Мишутка»;</w:t>
            </w:r>
          </w:p>
          <w:p w:rsidR="00254109" w:rsidRPr="00D804E6" w:rsidRDefault="00254109" w:rsidP="0025410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- МБОУ «СОШ № 3».</w:t>
            </w:r>
          </w:p>
          <w:p w:rsidR="001E00C7" w:rsidRPr="00D804E6" w:rsidRDefault="00254109" w:rsidP="00254109">
            <w:pPr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Мониторинг и анализ системы контроля осуществляется ежемесячно, путем составления отчетов, направления актов проверок в прокуратуру.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10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Поддержание в актуальном состоянии Порядка осуществления полномочий по контролю в финансово-бюджетной сфере</w:t>
            </w:r>
          </w:p>
        </w:tc>
        <w:tc>
          <w:tcPr>
            <w:tcW w:w="7017" w:type="dxa"/>
          </w:tcPr>
          <w:p w:rsidR="001E00C7" w:rsidRPr="00D804E6" w:rsidRDefault="001E00C7" w:rsidP="007130A0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  <w:r w:rsidR="007130A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27.02.2014 № 828 «Об организации контроля в финансово-бюджетной сфере 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городском округе»</w:t>
            </w:r>
            <w:r w:rsidR="007130A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 изм. от 08.10.2014 № </w:t>
            </w:r>
            <w:proofErr w:type="gramStart"/>
            <w:r w:rsidR="007130A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3096 ,</w:t>
            </w:r>
            <w:proofErr w:type="gramEnd"/>
            <w:r w:rsidR="007130A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01.09.2016 № 2841) утвержден «Порядок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осуществления Финансовым управлением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полномочий по контро</w:t>
            </w:r>
            <w:r w:rsidR="007130A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 в финансово-бюджетной сфере»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нормативного правового акта, регулирующего осуществление главными распорядителями бюджетных средств внутреннего финансового контроля и аудита</w:t>
            </w:r>
          </w:p>
        </w:tc>
        <w:tc>
          <w:tcPr>
            <w:tcW w:w="7017" w:type="dxa"/>
          </w:tcPr>
          <w:p w:rsidR="001E00C7" w:rsidRPr="00D804E6" w:rsidRDefault="001E00C7" w:rsidP="00864349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</w:t>
            </w:r>
            <w:r w:rsidR="0086434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06.10.2014 № 3064 «Об утверждении Порядка осуществления внутреннего финансового контроля и внутреннего финансового аудита»</w:t>
            </w:r>
            <w:r w:rsidR="0086434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(с изм. от 27.09.2016 № 3161) утвержден вышеуказанный Порядок.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Реорганизация и приватизация муниципальных унитарных предприятий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715F9B" w:rsidRPr="00D804E6" w:rsidRDefault="001E00C7" w:rsidP="00591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Реорганизация и приватизация муниципальных унитарных предприятий осуществляется в рамках мероприятий муниципальной программы "Повышение эффективности управления муниципальной собственностью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до 2021 года", утвержденной постановлением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22.08.2014 № 2674. </w:t>
            </w:r>
          </w:p>
          <w:p w:rsidR="001E00C7" w:rsidRPr="00D804E6" w:rsidRDefault="00715F9B" w:rsidP="0059135C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1.  </w:t>
            </w:r>
            <w:r w:rsidR="00086F1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Прекращение деятельности 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МУП «Комбинат школьного питания» </w:t>
            </w:r>
            <w:r w:rsidR="00086F1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связи с исключением из ЕГРЮЛ – 15.05.2018.</w:t>
            </w:r>
          </w:p>
          <w:p w:rsidR="001E00C7" w:rsidRPr="00D804E6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2. </w:t>
            </w:r>
            <w:r w:rsidR="00F653B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связи с убыточностью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принято постановление администрации от 19.07.2016 № 2318 о ликвидации МУП «Ритуал»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  <w:r w:rsidR="000E612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Определением Арбитражного суда Свердловской области от 14.07.2017г. введена процедура банкротства – наблюдение.</w:t>
            </w:r>
            <w:r w:rsidR="00086F1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Судебное заседание о признании</w:t>
            </w:r>
            <w:r w:rsidR="00F20B1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банкротом и введении процедуры наб</w:t>
            </w:r>
            <w:r w:rsidR="008317D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людения назначено на 29.10.2018, на котором предприятие признано несостоятельным (банкротом), открыто конкурсное производство сроком на шесть месяцев до 29.04.2019 (решение Арбитражного суда Свердловской области от 30.10.18г по делу № А60-27712/2018.</w:t>
            </w:r>
          </w:p>
          <w:p w:rsidR="00715F9B" w:rsidRPr="00D804E6" w:rsidRDefault="00715F9B" w:rsidP="00715F9B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3. </w:t>
            </w:r>
            <w:r w:rsidR="00D119CE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Прекращение деятельности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МУП «Служба единого заказчика по ремонтно-строительным работам»</w:t>
            </w:r>
            <w:r w:rsidR="00D119CE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связи с исключением из ЕГРЮЛ 15.01.2018.</w:t>
            </w:r>
          </w:p>
          <w:p w:rsidR="00715F9B" w:rsidRPr="00D804E6" w:rsidRDefault="00D119CE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4. Прекращение деятельности </w:t>
            </w:r>
            <w:r w:rsidR="00715F9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МУП «ЖКХ пос. Басьяновский»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в связи с исключением</w:t>
            </w:r>
            <w:r w:rsidR="00715F9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 ЕГРЮЛ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06.03.2018</w:t>
            </w:r>
            <w:r w:rsidR="00715F9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. </w:t>
            </w:r>
          </w:p>
          <w:p w:rsidR="00D119CE" w:rsidRPr="00D804E6" w:rsidRDefault="00D119CE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5. Определением Арбитражного суда Свердловской области от 14.07.2017 МУП «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Пассажиравтотранс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» признано несостоятельным, введена про</w:t>
            </w:r>
            <w:r w:rsidR="0047513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цедура банкротства – наблюдение, с 10.02.2018г. процедура внешнего управления (дело № А60-17460/2017).</w:t>
            </w:r>
            <w:r w:rsidR="00F20B1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Решением Арбитражного суда Свердловской области от 25.07.2018 предприятие признано несостоятельным (банкротом), открыто конкурсное производство сроком на 6 месяцев. Судебное заседание по рассмотрению отчета конкурсного управляющего назначено на 19.01.2019.</w:t>
            </w:r>
          </w:p>
          <w:p w:rsidR="00D119CE" w:rsidRPr="00D804E6" w:rsidRDefault="00D119CE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6. Определением Арбитражного суда Свердловской области от 14.02.2018 МУП «гор. УЖКХ» </w:t>
            </w:r>
            <w:r w:rsidR="0043353E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призн</w:t>
            </w:r>
            <w:r w:rsidR="00F20B1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ано несостоятельным. Определением </w:t>
            </w:r>
            <w:r w:rsidR="00F20B1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Арбитражного суда Свердловской области от 10.09.2018 в </w:t>
            </w:r>
            <w:proofErr w:type="spellStart"/>
            <w:r w:rsidR="00F20B1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отнощении</w:t>
            </w:r>
            <w:proofErr w:type="spellEnd"/>
            <w:r w:rsidR="00F20B1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предприятия введена процедура внешнего управления сроком на 18 месяцев до 03.03.2020, назначен внешний управляющий.</w:t>
            </w:r>
          </w:p>
          <w:p w:rsidR="008317D0" w:rsidRPr="00D804E6" w:rsidRDefault="008317D0" w:rsidP="00D119CE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7. В отношении МУП «Городские электрические сети»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принято решение о ликвидации (постановление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28.11.18 № 3204), дата внесения записи в ЕГРЮЛ 07.12.2018.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13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Контроль за ведением финансово-хозяйственной деятельности муниципальных унитарных предприятий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7C490D" w:rsidRPr="00D804E6" w:rsidRDefault="007C490D" w:rsidP="00512CAA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4E6">
              <w:rPr>
                <w:rFonts w:ascii="Times New Roman" w:hAnsi="Times New Roman"/>
                <w:sz w:val="20"/>
                <w:szCs w:val="20"/>
              </w:rPr>
              <w:t xml:space="preserve">31 июля 2018 года проведено заседание балансовой комиссии администрации </w:t>
            </w:r>
            <w:proofErr w:type="spellStart"/>
            <w:r w:rsidRPr="00D804E6">
              <w:rPr>
                <w:rFonts w:ascii="Times New Roman" w:hAnsi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/>
                <w:sz w:val="20"/>
                <w:szCs w:val="20"/>
              </w:rPr>
              <w:t xml:space="preserve"> городского округа в соответствии с п. 23 главы 2 </w:t>
            </w:r>
            <w:proofErr w:type="gramStart"/>
            <w:r w:rsidRPr="00D804E6">
              <w:rPr>
                <w:rFonts w:ascii="Times New Roman" w:hAnsi="Times New Roman"/>
                <w:sz w:val="20"/>
                <w:szCs w:val="20"/>
              </w:rPr>
              <w:t>решения  Думы</w:t>
            </w:r>
            <w:proofErr w:type="gramEnd"/>
            <w:r w:rsidRPr="00D804E6">
              <w:rPr>
                <w:rFonts w:ascii="Times New Roman" w:hAnsi="Times New Roman"/>
                <w:sz w:val="20"/>
                <w:szCs w:val="20"/>
              </w:rPr>
              <w:t xml:space="preserve"> городского округа от 14 октября 2015 года № 384 «Об определении оплаты труда руководителей, их заместителей, главных бухгалтеров муниципальных унитарных предприятий </w:t>
            </w:r>
            <w:proofErr w:type="spellStart"/>
            <w:r w:rsidRPr="00D804E6">
              <w:rPr>
                <w:rFonts w:ascii="Times New Roman" w:hAnsi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/>
                <w:sz w:val="20"/>
                <w:szCs w:val="20"/>
              </w:rPr>
              <w:t xml:space="preserve"> городского округа». По итогам 2017 года установлен размер вознаграждения за выполнение ключевых показателей эффективности предприятий МУП «Центральная районная аптека № 42»; МУП «Городское управление жилищно-коммунального хозяйства»; МУП «Городские электрические сети».</w:t>
            </w:r>
          </w:p>
          <w:p w:rsidR="00512CAA" w:rsidRPr="00D804E6" w:rsidRDefault="00512CAA" w:rsidP="00512CAA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4E6">
              <w:rPr>
                <w:rFonts w:ascii="Times New Roman" w:hAnsi="Times New Roman"/>
                <w:sz w:val="20"/>
                <w:szCs w:val="20"/>
              </w:rPr>
              <w:t xml:space="preserve">В соответствии с решением Думы городского округа от 14 октября 2015 года № 387 «Об утверждении Положения о порядке перечисления муниципальными унитарными предприятиями в бюджет </w:t>
            </w:r>
            <w:proofErr w:type="spellStart"/>
            <w:r w:rsidRPr="00D804E6">
              <w:rPr>
                <w:rFonts w:ascii="Times New Roman" w:hAnsi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/>
                <w:sz w:val="20"/>
                <w:szCs w:val="20"/>
              </w:rPr>
              <w:t xml:space="preserve"> городского округа части прибыли, остающейся после уплаты налогов и иных обязательных платежей» муниципальные унитарные предприятия городского округа в десятидневный срок с даты сдачи годовой отчетности в налоговый орган, представляют в Комитет по имуществу расчет по исчислению суммы части прибыли, подлежащую перечислению в местный бюджет одновременно с годовой бухгалтерской отчетностью Уплата части прибыли, подлежащей перечислению в местный бюджет, производится предприятиями не позднее 15 июня года, следующего за отчетным.</w:t>
            </w:r>
          </w:p>
          <w:p w:rsidR="00C00145" w:rsidRPr="00D804E6" w:rsidRDefault="00AC2988" w:rsidP="00F02389">
            <w:pPr>
              <w:pStyle w:val="2"/>
              <w:tabs>
                <w:tab w:val="left" w:pos="0"/>
              </w:tabs>
              <w:ind w:left="34" w:right="0" w:firstLine="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804E6">
              <w:rPr>
                <w:rFonts w:ascii="Times New Roman" w:hAnsi="Times New Roman"/>
                <w:sz w:val="20"/>
                <w:szCs w:val="20"/>
              </w:rPr>
              <w:t>В отчетный период в Комитет были представлены вышеуказанные отчеты следующими предприятиями: МУП ЦРА № 42, МУП «</w:t>
            </w:r>
            <w:proofErr w:type="spellStart"/>
            <w:r w:rsidRPr="00D804E6">
              <w:rPr>
                <w:rFonts w:ascii="Times New Roman" w:hAnsi="Times New Roman"/>
                <w:sz w:val="20"/>
                <w:szCs w:val="20"/>
              </w:rPr>
              <w:t>Гор</w:t>
            </w:r>
            <w:r w:rsidR="00F02389" w:rsidRPr="00D804E6">
              <w:rPr>
                <w:rFonts w:ascii="Times New Roman" w:hAnsi="Times New Roman"/>
                <w:sz w:val="20"/>
                <w:szCs w:val="20"/>
              </w:rPr>
              <w:t>электросети</w:t>
            </w:r>
            <w:proofErr w:type="spellEnd"/>
            <w:r w:rsidR="00F02389" w:rsidRPr="00D804E6">
              <w:rPr>
                <w:rFonts w:ascii="Times New Roman" w:hAnsi="Times New Roman"/>
                <w:sz w:val="20"/>
                <w:szCs w:val="20"/>
              </w:rPr>
              <w:t>».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6946" w:type="dxa"/>
          </w:tcPr>
          <w:p w:rsidR="001E00C7" w:rsidRPr="00D804E6" w:rsidRDefault="00C70039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Получение 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иных межбюджетных трансфертов бюджету </w:t>
            </w:r>
            <w:proofErr w:type="spellStart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стимулирование </w:t>
            </w:r>
          </w:p>
        </w:tc>
        <w:tc>
          <w:tcPr>
            <w:tcW w:w="7017" w:type="dxa"/>
          </w:tcPr>
          <w:p w:rsidR="001E00C7" w:rsidRPr="00D804E6" w:rsidRDefault="001E00C7" w:rsidP="007E1CF6">
            <w:pPr>
              <w:spacing w:after="0" w:line="215" w:lineRule="atLeast"/>
              <w:ind w:right="112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Иные межбюджетные трансферты бюджету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</w:t>
            </w:r>
            <w:r w:rsidR="007E1CF6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округа на стимулирование в отчетном периоде 2018 года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 предоставлялись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15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Плана мероприятий ("дорожной карты") по повышению доходного потенциала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7017" w:type="dxa"/>
          </w:tcPr>
          <w:p w:rsidR="0095292A" w:rsidRPr="00D804E6" w:rsidRDefault="001E00C7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План мероприятий ("дорожной карты") по повышению доходного потенциала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 разработан и утвержден постановлением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№ 1056 от 23 марта 2017 г. «Об утверждении Плана мероприятий («дорожной карты») по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повышению  доходного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потенциала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2017 год и плановый период 2018-2019 годов» </w:t>
            </w:r>
            <w:r w:rsidR="004720F6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</w:t>
            </w:r>
            <w:r w:rsidR="00C7003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 изм. от 05.05.2017 № 1470 и от 15.06.2018 № 1713</w:t>
            </w:r>
            <w:r w:rsidR="004720F6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).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16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выполнения мероприятий, предусмотренных Планом мероприятий ("дорожной картой") по повышению доходного потенциала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очередной финансовый год и плановый период</w:t>
            </w:r>
          </w:p>
        </w:tc>
        <w:tc>
          <w:tcPr>
            <w:tcW w:w="7017" w:type="dxa"/>
          </w:tcPr>
          <w:p w:rsidR="001E00C7" w:rsidRPr="00D804E6" w:rsidRDefault="001E00C7" w:rsidP="00A04DC1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Информация о выполнении мероприятий, предусмотренных Планом мероприятий ("дорожной картой") по повышению доходного потенциала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 2017 год и плановый период 2018-2019 годов составляется ежекв</w:t>
            </w:r>
            <w:r w:rsidR="0048394F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артально. За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7E1CF6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отчетный период 2018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</w:t>
            </w:r>
            <w:r w:rsidR="007E1CF6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информация в Министерство финансов Свердловской обл</w:t>
            </w:r>
            <w:r w:rsidR="0071670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асти направ</w:t>
            </w:r>
            <w:r w:rsidR="0048394F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лена письмом </w:t>
            </w:r>
            <w:r w:rsidR="00A04DC1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от 18.01</w:t>
            </w:r>
            <w:r w:rsidR="0048394F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.201</w:t>
            </w:r>
            <w:r w:rsidR="00A04DC1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9</w:t>
            </w:r>
            <w:r w:rsidR="004720F6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№</w:t>
            </w:r>
            <w:r w:rsidR="00A04DC1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31</w:t>
            </w:r>
            <w:r w:rsidR="00FB78C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D804E6" w:rsidTr="002D6237">
        <w:trPr>
          <w:trHeight w:val="2913"/>
        </w:trPr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17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адресной работы с хозяйствующими субъектами путем заслушивания руководителей (собственников) на заседани</w:t>
            </w:r>
            <w:r w:rsidR="002D623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ях межведомственной комиссии в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целях выработки рекомендаций по легализации заработной платы, ликвидации убыточности организаций, а также погашению задолженности по налогам, зачисляемым в областной и местные бюджеты</w:t>
            </w:r>
          </w:p>
        </w:tc>
        <w:tc>
          <w:tcPr>
            <w:tcW w:w="7017" w:type="dxa"/>
          </w:tcPr>
          <w:p w:rsidR="00C41348" w:rsidRPr="00D804E6" w:rsidRDefault="00C41348" w:rsidP="00C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       В отчетном периоде 2018 года проведено 12 заседаний Межведомственной комиссии по вопросам укрепления финансовой самостоятельности бюджета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округа, также как в аналогичном периоде прошлого года, все заседания проведены с участием налогового органа. </w:t>
            </w:r>
          </w:p>
          <w:p w:rsidR="00C41348" w:rsidRPr="00D804E6" w:rsidRDefault="00C41348" w:rsidP="00C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        На заседание комиссии за отчетный период всего приглашено 137 налогоплательщиков, заслушано 63.</w:t>
            </w:r>
          </w:p>
          <w:p w:rsidR="001E00C7" w:rsidRPr="00D804E6" w:rsidRDefault="00C41348" w:rsidP="00C4134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        Информация по налогоплательщикам, которые без уважительной причине не явились на заседание комиссии направлена в межрайонную ИФНС России № 16 по Свердловской области (исх. 23.08.2018г. № 11/01-22/4698, от 29.10.2018 № 11/01-22/6058, от 04.12.2018 № 11/01-22/6840 и от 14.12.2018 № 11/01-22/7017) и 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Верхнесалдинскую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городскую прокуратуру от 28.09.2018 № 11/01-22/5391 и от 14.12.2018 № 11/01-22/7017 с просьбой о принятии мер ответственности, с целью побуждения их к самостоятельному устранению нарушений.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18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Организация взаимодействия с федеральными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B4134" w:rsidRPr="00D804E6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Взаимодействие с федеральными органами исполнительной власти по вопросам бюджетного и финансового регулирования, главными администраторами доходов местного бюджета, крупнейшими налогоплательщиками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строится на основании бюджетного и налогового законодательства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19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Внесение изменений в порядок рассмотрения обращений налогоплательщиков 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городском  округе</w:t>
            </w:r>
            <w:proofErr w:type="gramEnd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возможности предоставления налоговых льгот и оценки их эффективности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Порядок рассмотрения обращений налогоплательщиков 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Верхнесалдинском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городском  округе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возможности предоставления налоговых льгот и оценки их эффективности разработан и утвержден решением Думы городского округа от 24.10.2012 № 72 «Об утверждении Порядка рассмотрения обращений налогоплательщиков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 возможности предоставления   налоговых льгот и оценке эффективности их предоставления». Изменения в Порядок не вносились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20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анализа использования и оценки эффективности предоставленных налоговых льгот и преференций, установленных законодательством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округа. Подготовка предложений по их оптимизации. </w:t>
            </w:r>
          </w:p>
        </w:tc>
        <w:tc>
          <w:tcPr>
            <w:tcW w:w="7017" w:type="dxa"/>
          </w:tcPr>
          <w:p w:rsidR="0064466D" w:rsidRPr="00D804E6" w:rsidRDefault="0064466D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9B435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Во исполнение п. 6 протокола рабочей группы по подготовке проектов нормативных правовых актов Свердловской области внесены изменения в решение Думы городского округа от 16.11.16 № 491 «Об установлении на территории </w:t>
            </w:r>
            <w:proofErr w:type="spellStart"/>
            <w:r w:rsidR="009B435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9B435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земельного налога» (изм. от 15.11.2017 № 21, от 23.10.2018 № 122, от 27.11.2018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№ 131), устанавливающие</w:t>
            </w:r>
            <w:r w:rsidR="009B435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дополнительные льготы гражданам, проживающим на территории Свердловской области, достигшим возраста 55 лет (для женщин) и 60 лет (для мужчин), а также иным категориям граждан.</w:t>
            </w:r>
            <w:r w:rsidR="0035201F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64466D" w:rsidRPr="00D804E6" w:rsidRDefault="0064466D" w:rsidP="0064466D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В соответствии с решением Думы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19.11.2014 г. № 280 «Об установлении на территории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налога на имущество физических лиц» (в ред. решений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 xml:space="preserve">Думы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16.12.2015 № 407, от 23.03.2016 № 429, от 15.11.2017 № 20) предусмотрены льготы по ряду категорий в 2017 году.</w:t>
            </w:r>
            <w:r w:rsidR="00B97D7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Оптимизация льгот, предоставляемых физическим лицам при уплате налога на имущество физических лиц и земельного налога не рассматривалась.</w:t>
            </w:r>
          </w:p>
          <w:p w:rsidR="0064466D" w:rsidRPr="00D804E6" w:rsidRDefault="0064466D" w:rsidP="0064466D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Потери бюджета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2018 году от предоставления льгот по земельному налогу и налогу на имущество физических лиц в соответствии с нормативными правовыми актами представительных органов муниципального образования составили 18 464,0 тыс. руб., в том числе:</w:t>
            </w:r>
          </w:p>
          <w:p w:rsidR="0064466D" w:rsidRPr="00D804E6" w:rsidRDefault="0064466D" w:rsidP="0064466D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 по земельному налогу в сумме 18 442,0 тыс. руб.;</w:t>
            </w:r>
          </w:p>
          <w:p w:rsidR="005D0AC0" w:rsidRPr="00D804E6" w:rsidRDefault="0064466D" w:rsidP="001622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 - по налогу на имущество физических лиц в сумме 22,0 тыс. руб.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21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изменений в Порядок и Методику планирования бюджетных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ассигнований  бюджета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 на очередной финансовый год и плановый период</w:t>
            </w:r>
          </w:p>
        </w:tc>
        <w:tc>
          <w:tcPr>
            <w:tcW w:w="7017" w:type="dxa"/>
          </w:tcPr>
          <w:p w:rsidR="0051182A" w:rsidRPr="00D804E6" w:rsidRDefault="001E00C7" w:rsidP="0059135C">
            <w:pPr>
              <w:pStyle w:val="1"/>
              <w:ind w:left="0" w:right="113" w:firstLine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Приказ Финансового управления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="00B151F6"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06.08.2017 № 82</w:t>
            </w: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Pr="00D8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 внесении изменений в приказ Финансового управления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от 07 июля 2011 года № 79 «Об утверждении </w:t>
            </w:r>
            <w:proofErr w:type="gramStart"/>
            <w:r w:rsidRPr="00D8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Порядка  и</w:t>
            </w:r>
            <w:proofErr w:type="gramEnd"/>
            <w:r w:rsidRPr="00D8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Методики планирования бюджетных ассигнований бюджета </w:t>
            </w:r>
            <w:proofErr w:type="spellStart"/>
            <w:r w:rsidRPr="00D8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городского округа на очередной финансовый год и плановый период»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22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Повышение профессионализма муниципальных заказчиков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округа: проведение методических семинаров, оказание информационно-методологической поддержки</w:t>
            </w:r>
          </w:p>
        </w:tc>
        <w:tc>
          <w:tcPr>
            <w:tcW w:w="7017" w:type="dxa"/>
          </w:tcPr>
          <w:p w:rsidR="001E00C7" w:rsidRPr="00D804E6" w:rsidRDefault="001E00C7" w:rsidP="007C6E72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</w:t>
            </w:r>
            <w:r w:rsidR="007A4E1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</w:t>
            </w:r>
            <w:r w:rsidR="004D0C0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572164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методических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семинар</w:t>
            </w:r>
            <w:r w:rsidR="007A4E1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а,</w:t>
            </w:r>
            <w:r w:rsidR="004D0C0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2 совещания,</w:t>
            </w:r>
            <w:r w:rsidR="007A4E1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направлено</w:t>
            </w:r>
            <w:r w:rsidR="00572164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4D0C0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</w:t>
            </w:r>
            <w:r w:rsidR="00E22074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письма</w:t>
            </w:r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обзорной информацией об</w:t>
            </w:r>
            <w:r w:rsidR="00971B5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изменениях в законодательстве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контрактной системе в сфере закупок товаров, работ, услуг для обеспечения муниципальных нужд. 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23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Оптимизация сети учреждений бюджетного сектора экономики путем реорганизации муниципальных учреждений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EA01C7" w:rsidRPr="00D804E6" w:rsidRDefault="004E6487" w:rsidP="00EA01C7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отчетном периоде 2018</w:t>
            </w:r>
            <w:r w:rsidR="00D2094F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 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оптимизация сети учреждений, подведомственных Администрации городского округа, </w:t>
            </w:r>
            <w:proofErr w:type="gramStart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Управлению  образования</w:t>
            </w:r>
            <w:proofErr w:type="gramEnd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EA01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 планировалась и не проводилась.</w:t>
            </w:r>
          </w:p>
          <w:p w:rsidR="00880FD6" w:rsidRPr="00D804E6" w:rsidRDefault="00EA01C7" w:rsidP="00880FD6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главному распорядителю бюджетных средств 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Управлению культуры</w:t>
            </w:r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E67A2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880FD6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на основании постановления администрации </w:t>
            </w:r>
            <w:proofErr w:type="spellStart"/>
            <w:r w:rsidR="00880FD6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880FD6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12 июля 2018 года № 1932 «О реорганизации муниципального автономного учреждения культуры «Центр культуры, досуга и кино» осуществлена реорганизация муниципального автономного учреждения культуры «Центр культуры, досуга и кино» в форме присоединения к нему Муниципального бюджетного учреждения культуры «Центр художественного творчества».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24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Внедрение "эффективного контракта" в муниципальных учреждениях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соответствии с </w:t>
            </w:r>
            <w:hyperlink r:id="rId9" w:history="1">
              <w:r w:rsidRPr="00D804E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Программой</w:t>
              </w:r>
            </w:hyperlink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поэтапного совершенствования системы оплаты труда в государственных (муниципальных) учреждениях на 2012 - 2018 годы, утвержденной Распоряжением Правительства Российской Федерации от 26.11.2012 N 2190-р</w:t>
            </w:r>
          </w:p>
        </w:tc>
        <w:tc>
          <w:tcPr>
            <w:tcW w:w="7017" w:type="dxa"/>
          </w:tcPr>
          <w:p w:rsidR="004E6487" w:rsidRPr="00D804E6" w:rsidRDefault="001E00C7" w:rsidP="00B35024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«Эф</w:t>
            </w:r>
            <w:r w:rsidR="00B35024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фективные контракты» заключены </w:t>
            </w:r>
            <w:r w:rsidR="004E648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 всеми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руководителями образовательных муниципальных учреждений, подведомственных Управлению образования</w:t>
            </w:r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 Во всех образовательных учреждениях заключены «эффективные контракты» с</w:t>
            </w:r>
            <w:r w:rsidR="00B35024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работниками. </w:t>
            </w:r>
          </w:p>
          <w:p w:rsidR="002164C4" w:rsidRPr="00D804E6" w:rsidRDefault="001E00C7" w:rsidP="00B35024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 муниципальных учреждениях, подведомственных Управлению культуры</w:t>
            </w:r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работа по внедрению «эффективного контракта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» </w:t>
            </w:r>
            <w:r w:rsidR="0051182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выполнена полностью</w:t>
            </w:r>
            <w:r w:rsidR="002720A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="002164C4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25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Установление доли оплаты труда работников административно-управленческого и вспомогательного персонала в фонде оплаты труда подведомственных учреждений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40" w:lineRule="auto"/>
              <w:ind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Приказом Управления образования «Об установлении предельной доли оплаты труда работников административно-управленческого персонала в фонде оплаты труда образовательных учреждений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 от 19.08.2014 установлена доля оплаты труда административно-управленческого персонала по всем образовательным учреждениям (ОУ, ДОУ, УДО) с учетом предельной доли этих расходов в фонде оплаты труда не более 40%.</w:t>
            </w:r>
          </w:p>
          <w:p w:rsidR="001E00C7" w:rsidRPr="00D804E6" w:rsidRDefault="001E00C7" w:rsidP="0082747E">
            <w:pPr>
              <w:spacing w:after="0" w:line="215" w:lineRule="atLeast"/>
              <w:ind w:right="105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Приказами по Управлению культуры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установлена численность и предельная доля оплаты труда административно-управленческого персонала с учетом предельной доли этих расходов в фонде оплаты труда по каждому учреждению культуры, учреждению дополнительного образования, подведомственных Управлению культуры</w:t>
            </w:r>
            <w:r w:rsidR="00AD72BA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 учетом предельной доли этих расходов в фонде оплаты труда не более 40%.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26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Разработка Порядка формирования и ведения ведомственных перечней муниципальных услуг (работ)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Принято постановление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 от 23.03.2015 № 1057 «Об утверждении Порядка формирования, ведения и утверждения ведомственных перечней муниципальных услуг и работ, оказываемых и выполняемых муниципальными учреждениями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</w:rPr>
              <w:t xml:space="preserve"> городского округа»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ведомственных перечней муниципальных услуг (работ), оказываемых (выполняемых) муниципальными учреждениями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образования</w:t>
            </w:r>
            <w:r w:rsidR="001213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</w:t>
            </w:r>
            <w:r w:rsidR="00C236B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C236B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Векрхнесалдинского</w:t>
            </w:r>
            <w:proofErr w:type="spellEnd"/>
            <w:r w:rsidR="00C236B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21.01.2016 № 16 «Об утверждении ведомственного перечня муниципальных услуг (работ), оказываемых (выполняемых) муниципальными учреждениями, подведомственными Управлению образования </w:t>
            </w:r>
            <w:r w:rsidR="001213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сфере образования» (с изменениями от 28.09.2016 № 290, от 27.12.2016 № 386);</w:t>
            </w:r>
          </w:p>
          <w:p w:rsidR="00B27326" w:rsidRPr="00D804E6" w:rsidRDefault="00E01DC2" w:rsidP="00C236B5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культуры</w:t>
            </w:r>
            <w:r w:rsidR="00C236B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213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администрации </w:t>
            </w:r>
            <w:proofErr w:type="spellStart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23.01.2017 № 25 «Об утверждении ведомственного перечня муниципальных услуг и работ, оказываемых и выполняемых муниципальными учреждениями, подве</w:t>
            </w:r>
            <w:r w:rsidR="00C236B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домственных Управлению культуры</w:t>
            </w:r>
            <w:r w:rsidR="001213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213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213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новой редакции»</w:t>
            </w:r>
            <w:r w:rsidR="00C236B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  <w:p w:rsidR="00D80943" w:rsidRPr="00D804E6" w:rsidRDefault="00D80943" w:rsidP="00C236B5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28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Разработка нормативов затрат на оказание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(работ) в соответствующих сферах деятельности для муниципальных услуг (работ), включенных в ведомственные перечни, разработанные в соответствии с базовыми (отраслевыми) перечнями</w:t>
            </w:r>
          </w:p>
        </w:tc>
        <w:tc>
          <w:tcPr>
            <w:tcW w:w="7017" w:type="dxa"/>
          </w:tcPr>
          <w:p w:rsidR="00723A71" w:rsidRPr="00D804E6" w:rsidRDefault="001E00C7" w:rsidP="0059135C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Постановление администрации городск</w:t>
            </w:r>
            <w:r w:rsidR="0004314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ого округа от 28.12.2016 № 4053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«Об утверждении методических рекомендаций по расчету нормативных затрат, связанных с оказанием муниципальными учреждениями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муниципальных услуг (выполнением работ), и нормативных затрат на содержание имущества муниципальных учреждений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округа». </w:t>
            </w:r>
          </w:p>
          <w:p w:rsidR="00695809" w:rsidRPr="00D804E6" w:rsidRDefault="001E00C7" w:rsidP="00695809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</w:t>
            </w:r>
            <w:r w:rsidR="006958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вления об</w:t>
            </w:r>
            <w:r w:rsidR="006A4A0F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разования от 06.09.2018 № 25</w:t>
            </w:r>
            <w:r w:rsidR="006958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/1 «</w:t>
            </w:r>
            <w:r w:rsidR="006958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 внесении изменений в приказ Управления образования </w:t>
            </w:r>
            <w:proofErr w:type="spellStart"/>
            <w:r w:rsidR="006958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6958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26.11.2015 № 355/1 «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 утверждении нормативных затрат на оказание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муниципальных  услуг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(работ) в сфере образования, применяемых при расчете объема субсидии на финансовое обеспечение выполнение муниципального задания на оказание муниципальных услуг (выполнение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работ) муниципальными учреждениями»</w:t>
            </w:r>
            <w:r w:rsidR="00695809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1E00C7" w:rsidRPr="00D804E6" w:rsidRDefault="00E01DC2" w:rsidP="00695809">
            <w:pPr>
              <w:tabs>
                <w:tab w:val="left" w:pos="6804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Приказ Управления культуры</w:t>
            </w:r>
            <w:r w:rsidR="001C1B12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C1B12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24.01.2017 № 26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«</w:t>
            </w:r>
            <w:proofErr w:type="gramStart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  утверждении</w:t>
            </w:r>
            <w:proofErr w:type="gramEnd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нормативных затрат </w:t>
            </w:r>
            <w:r w:rsidR="001C1B12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на оказание муниципальных  работ (услуг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), оказываемых (выполняемых) учреждениями (организациями) подведомственными Управлению культуры </w:t>
            </w:r>
            <w:proofErr w:type="spellStart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  <w:r w:rsidR="001C1B12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29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Подготовка Порядка разработки, утверждения и применения стандартов качества предоставления муниципальных услуг (работ), за исключением муниципальных услуг (работ) в соответствии с Федеральным </w:t>
            </w:r>
            <w:hyperlink r:id="rId10" w:history="1">
              <w:r w:rsidRPr="00D804E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</w:rPr>
              <w:t>Стандарт качества муниципальной услуги прописан в регламентах оказания муниципальных услуг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30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мониторинга качества работы и формирование рейтингов учреждений в сфере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образования,  культуры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за исключением муниципальных  услуг (работ) в соответствии с Федеральным </w:t>
            </w:r>
            <w:hyperlink r:id="rId11" w:history="1">
              <w:r w:rsidRPr="00D804E6">
                <w:rPr>
                  <w:rStyle w:val="a4"/>
                  <w:rFonts w:ascii="Times New Roman" w:hAnsi="Times New Roman" w:cs="Times New Roman"/>
                  <w:sz w:val="20"/>
                  <w:szCs w:val="20"/>
                  <w:u w:val="none"/>
                  <w:lang w:eastAsia="en-US"/>
                </w:rPr>
                <w:t>законом</w:t>
              </w:r>
            </w:hyperlink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27 июля 2010 года N 210-ФЗ "Об организации предоставления государственных и муниципальных услуг"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При Управлении образования</w:t>
            </w:r>
            <w:r w:rsidR="00DD43E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</w:t>
            </w:r>
            <w:r w:rsidRPr="00D804E6">
              <w:rPr>
                <w:rFonts w:ascii="Georgia" w:hAnsi="Georgia" w:cs="Georgia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</w:t>
            </w:r>
            <w:r w:rsidR="006C2B4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го округа создан Муниципальный О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бщественный совет по </w:t>
            </w:r>
            <w:r w:rsidR="006B04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проведению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независимой оценки</w:t>
            </w:r>
            <w:r w:rsidR="006B04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качества условий осуществления образователь</w:t>
            </w:r>
            <w:r w:rsidR="006C2B4B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ной деятельности организациями </w:t>
            </w:r>
            <w:r w:rsidR="006B04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(Приказ № 148 от 05.06.2018), этим же приказом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утверж</w:t>
            </w:r>
            <w:r w:rsidR="006B04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дены Положение об О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бщественном сове</w:t>
            </w:r>
            <w:r w:rsidR="006B0415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те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Порядок проведения оценки качества работы образовательных организаций, подведомственных Управлению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образования 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округа.</w:t>
            </w:r>
          </w:p>
          <w:p w:rsidR="001E00C7" w:rsidRPr="00D804E6" w:rsidRDefault="005E290C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Управлением культуры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роведение мониторинга качества предоставления муниципальных услуг производится ежеквартально</w:t>
            </w:r>
            <w:r w:rsidR="00EB6D33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р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езультаты мониторинга публикуются на сайте городского округа</w:t>
            </w:r>
          </w:p>
          <w:p w:rsidR="001E00C7" w:rsidRPr="00D804E6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http://v-salda.ru/municipal-services/monitoring-of-quality-of-services/  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31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Осуществление начисления платежей в бюджет, пеней и штрафов по ним и представление информации, необходимой для уплаты денежных средств физическими и юридическими лицами за муниципальные услуги, а также иных платежей, являющихся источниками формирования доходов бюджетов бюджетной системы Российской Федерации в государственную информационную систему о государственных и муниципальных платежах</w:t>
            </w:r>
          </w:p>
        </w:tc>
        <w:tc>
          <w:tcPr>
            <w:tcW w:w="7017" w:type="dxa"/>
          </w:tcPr>
          <w:p w:rsidR="000E6120" w:rsidRPr="00D804E6" w:rsidRDefault="00DE2BFD" w:rsidP="000E612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По Думе, 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Счетной палате, Управлению культуры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данные в ГИС ГМП не передавались в</w:t>
            </w:r>
            <w:r w:rsidR="000E612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связи с отсутствием начислений.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</w:t>
            </w:r>
          </w:p>
          <w:p w:rsidR="00DE2BFD" w:rsidRPr="00D804E6" w:rsidRDefault="001E00C7" w:rsidP="000E612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Администрацией городского округа, Финансовым</w:t>
            </w:r>
            <w:r w:rsidR="00DE2BF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управлением администрации</w:t>
            </w:r>
            <w:r w:rsidR="005E290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E290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администрации</w:t>
            </w:r>
            <w:proofErr w:type="spellEnd"/>
            <w:r w:rsidR="005E290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5E290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5E290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="000E612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, </w:t>
            </w:r>
            <w:r w:rsidR="00900F3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Комитетом по управлению имуществом администрации </w:t>
            </w:r>
            <w:proofErr w:type="spellStart"/>
            <w:r w:rsidR="00900F3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900F38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и </w:t>
            </w:r>
            <w:r w:rsidR="000E612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Управлением образования</w:t>
            </w:r>
            <w:r w:rsidR="00DE2BF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DE2BF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DE2BF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ГИС ГМП произведена 100%-я передача информации. 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32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независимой оценки соответствия качества фактически предоставленных услуг утвержденным требованиям к качеству</w:t>
            </w:r>
          </w:p>
        </w:tc>
        <w:tc>
          <w:tcPr>
            <w:tcW w:w="7017" w:type="dxa"/>
          </w:tcPr>
          <w:p w:rsidR="002A1A92" w:rsidRPr="00D804E6" w:rsidRDefault="001E00C7" w:rsidP="002A1A92">
            <w:pPr>
              <w:pStyle w:val="ac"/>
              <w:shd w:val="clear" w:color="auto" w:fill="FFFFFF"/>
              <w:spacing w:after="0" w:afterAutospacing="0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04E6">
              <w:rPr>
                <w:color w:val="FF0000"/>
                <w:sz w:val="20"/>
                <w:szCs w:val="20"/>
                <w:lang w:eastAsia="en-US"/>
              </w:rPr>
              <w:t xml:space="preserve">      </w:t>
            </w:r>
            <w:r w:rsidR="0073456E"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Для обеспечения информационной открытости и доступности информации о качестве деятельности образовательных организаций в отчетный пер</w:t>
            </w:r>
            <w:r w:rsidR="009A59DD"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иод на официальных сайтах</w:t>
            </w:r>
            <w:r w:rsidR="0073456E"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организаций была размещена информация о результатах деятельности. </w:t>
            </w:r>
            <w:r w:rsidR="002A1A92"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 мае-июне 2018 года проведена независимая</w:t>
            </w:r>
            <w:r w:rsidR="0073456E"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2A1A92"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оценка качества условий образовательной деятельности всех общеобразовательных учреждений на уровне Министерства общего и профессионального образования Свердловской области, на основании которой определён интегральный рейтинг общеобразовательных учреждений. Информация размещена на сайте ГМУ и сайтах образовательных учреждений. По результатам оценки качества проведено </w:t>
            </w:r>
            <w:r w:rsidR="002A1A92"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lastRenderedPageBreak/>
              <w:t>совещание с административными работниками организаций, выявлены проблемы, определены пути их решения. Каждая общеобразовательная организация составила план по устранению замечаний, выявленных в ходе независимой оценки качества условий.</w:t>
            </w:r>
          </w:p>
          <w:p w:rsidR="003E2578" w:rsidRPr="00D804E6" w:rsidRDefault="003E2578" w:rsidP="003E2578">
            <w:pPr>
              <w:pStyle w:val="ac"/>
              <w:shd w:val="clear" w:color="auto" w:fill="FFFFFF"/>
              <w:spacing w:after="0" w:afterAutospacing="0"/>
              <w:ind w:left="113" w:right="113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    В 2018 году Министерством культуры Свердловской области проведена независимая оценка качества по следующим учреждениям: МБУК «</w:t>
            </w:r>
            <w:proofErr w:type="spellStart"/>
            <w:r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>Верхнесалдинский</w:t>
            </w:r>
            <w:proofErr w:type="spellEnd"/>
            <w:r w:rsidRPr="00D804E6">
              <w:rPr>
                <w:rFonts w:ascii="Times New Roman" w:hAnsi="Times New Roman"/>
                <w:color w:val="000000"/>
                <w:sz w:val="20"/>
                <w:szCs w:val="20"/>
                <w:lang w:eastAsia="en-US"/>
              </w:rPr>
              <w:t xml:space="preserve"> краеведческий музей», МБУК «Централизованная библиотечная система», МАУК «Центр культуры, досуга и кино», МАУК «Кинотеатр «Кедр», МБУК «Центр художественного творчества».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33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Изучение мнения населения о качестве предоставляемых муниципальных услуг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Проводится мониторинг в форме анкетирования и социологического опроса.</w:t>
            </w:r>
          </w:p>
          <w:p w:rsidR="00D80943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D804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Результаты анкетирования </w:t>
            </w:r>
            <w:r w:rsidR="00B8595C" w:rsidRPr="00D804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образовательных учреждений </w:t>
            </w:r>
            <w:r w:rsidRPr="00D804E6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размещены на сайте Управления образования и на сайтах образовательны</w:t>
            </w:r>
            <w:r w:rsidR="00E7006E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  <w:t>х организации в сети «Интернет»</w:t>
            </w:r>
          </w:p>
          <w:p w:rsidR="00E7006E" w:rsidRPr="00E7006E" w:rsidRDefault="00E7006E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</w:p>
        </w:tc>
      </w:tr>
      <w:tr w:rsidR="001E00C7" w:rsidRPr="00D804E6">
        <w:tc>
          <w:tcPr>
            <w:tcW w:w="992" w:type="dxa"/>
          </w:tcPr>
          <w:p w:rsidR="001E00C7" w:rsidRPr="00D804E6" w:rsidRDefault="00673A11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34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Организация работы с открытыми источниками информации о качестве работы учреждений в сфере образования, культуры (официальный сайт информационно-телекоммуникационной сети Интернет, средства массовой информации)</w:t>
            </w:r>
          </w:p>
        </w:tc>
        <w:tc>
          <w:tcPr>
            <w:tcW w:w="7017" w:type="dxa"/>
          </w:tcPr>
          <w:p w:rsidR="00700B37" w:rsidRPr="00D804E6" w:rsidRDefault="001E00C7" w:rsidP="0059135C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По всем учреждениям, подведомственным Управлению культуры</w:t>
            </w:r>
            <w:r w:rsidR="00EA425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EA425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EA425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, созданы официальные сайты.</w:t>
            </w:r>
          </w:p>
          <w:p w:rsidR="00700B37" w:rsidRDefault="001E00C7" w:rsidP="00695809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Все нормативные документы были размещены на сайте Управления образования</w:t>
            </w:r>
            <w:r w:rsidR="00EA425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администрации </w:t>
            </w:r>
            <w:proofErr w:type="spellStart"/>
            <w:r w:rsidR="00EA425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="00EA425D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в разделе «НСОКО» и официальном сайте города в разделе «Независимая оценка качества работы организаций, оказывающих социальные услуги».</w:t>
            </w:r>
            <w:r w:rsidR="00700B3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E7006E" w:rsidRPr="00D804E6" w:rsidRDefault="00E7006E" w:rsidP="00695809">
            <w:pPr>
              <w:spacing w:after="0" w:line="215" w:lineRule="atLeast"/>
              <w:ind w:right="-3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35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Проведение мониторинга удовлетворенности граждан качеством предоставления муниципальных услуг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ind w:right="3057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Проводится ежеквартально</w:t>
            </w:r>
            <w:r w:rsidR="00A6474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.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36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Проведение мониторинга качества финансового менеджмента в соответствии с постановлением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от 19 июля 2012 года № 1455 «О порядке осуществления мониторинга и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оценка  качества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управления финансами главных распорядителей бюджетных средств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</w:p>
        </w:tc>
        <w:tc>
          <w:tcPr>
            <w:tcW w:w="7017" w:type="dxa"/>
          </w:tcPr>
          <w:p w:rsidR="001E00C7" w:rsidRPr="00D804E6" w:rsidRDefault="001E00C7" w:rsidP="00E91A7C">
            <w:pPr>
              <w:tabs>
                <w:tab w:val="left" w:pos="6807"/>
              </w:tabs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Проведен мониторинг качества финансового менеджмента главных распорядителей бюджетных средств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 соответствии с постановлением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</w:t>
            </w:r>
            <w:r w:rsidR="00E91A7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га от 19 июля 2012 года № 1455 за 2017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год. Результаты мониторинга направлены Финансовым управлением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</w:t>
            </w:r>
            <w:r w:rsidR="00E91A7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несалдинского</w:t>
            </w:r>
            <w:proofErr w:type="spellEnd"/>
            <w:r w:rsidR="00E91A7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гл</w:t>
            </w:r>
            <w:r w:rsidR="00E91A7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аве администрации </w:t>
            </w:r>
            <w:proofErr w:type="gramStart"/>
            <w:r w:rsidR="00E91A7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письмом  №</w:t>
            </w:r>
            <w:proofErr w:type="gramEnd"/>
            <w:r w:rsidR="00E91A7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144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от </w:t>
            </w:r>
            <w:r w:rsidR="00E91A7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27.03.2018г.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и опубликованы на официальном сайте городского округа </w:t>
            </w:r>
            <w:r w:rsidR="00E91A7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http://v-salda.ru/ekonomika/byudzhet/normativnye-dokumenty/?ELEMENT_ID=5099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37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Совершенствование Порядка проведения мониторинга качества финансового менеджмента, осуществляемого главными распорядителями средств бюджета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- исполнительными органами местного самоуправления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В Порядок организации проведения мониторинга качества финансового менеджмента, осуществляемого главными распорядителями средств бюджета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- исполнительными органами местного самоуправления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внесены изменения постановлением администрации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 от 13.04.2016 № 1307 «О внесении изменений в порядок организации проведения мониторинга и оценки качества управления финансами главных распорядителей бюджетных средств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округа»</w:t>
            </w:r>
          </w:p>
        </w:tc>
      </w:tr>
      <w:tr w:rsidR="001E00C7" w:rsidRPr="00D804E6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38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профессиональной подготовки, переподготовки и повышения квалификации муниципальных служащих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7017" w:type="dxa"/>
          </w:tcPr>
          <w:p w:rsidR="001E00C7" w:rsidRPr="00D804E6" w:rsidRDefault="001E00C7" w:rsidP="0059135C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Обеспечение профессиональной подготовки, переподготовки и повышения квалификации муниципальных служащих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проводится за счет средств областного бюджета в соответствии с указаниями Департамента кадровой политики Губернатора Свердловской области и за счет средств местного бюджета.  </w:t>
            </w:r>
          </w:p>
          <w:p w:rsidR="001E00C7" w:rsidRPr="00D804E6" w:rsidRDefault="001E00C7" w:rsidP="003F5B50">
            <w:pPr>
              <w:spacing w:after="0" w:line="215" w:lineRule="atLeast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    </w:t>
            </w:r>
            <w:r w:rsidR="005E290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 За отчетный период 201</w:t>
            </w:r>
            <w:r w:rsidR="003F5B5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</w:t>
            </w:r>
            <w:r w:rsidR="005E290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года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прошли обучение по программам профессиональной подготовки, переподго</w:t>
            </w:r>
            <w:r w:rsidR="00A06AE2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т</w:t>
            </w:r>
            <w:r w:rsidR="005E290C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овки и повышения квалифик</w:t>
            </w:r>
            <w:r w:rsidR="00605A24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ации 43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муниципальных служащих, что составляет </w:t>
            </w:r>
            <w:r w:rsidR="00605A24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48,3</w:t>
            </w:r>
            <w:r w:rsidR="003F5B50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</w:t>
            </w: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% от общего количества муниципальных служащих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</w:tr>
      <w:tr w:rsidR="001E00C7" w:rsidRPr="0059135C">
        <w:tc>
          <w:tcPr>
            <w:tcW w:w="992" w:type="dxa"/>
          </w:tcPr>
          <w:p w:rsidR="001E00C7" w:rsidRPr="00D804E6" w:rsidRDefault="001E00C7" w:rsidP="0059135C">
            <w:pPr>
              <w:spacing w:after="0" w:line="215" w:lineRule="atLeast"/>
              <w:ind w:right="-108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41</w:t>
            </w:r>
          </w:p>
        </w:tc>
        <w:tc>
          <w:tcPr>
            <w:tcW w:w="6946" w:type="dxa"/>
          </w:tcPr>
          <w:p w:rsidR="001E00C7" w:rsidRPr="00D804E6" w:rsidRDefault="001E00C7" w:rsidP="0059135C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Составление и опубликование «бюджета для граждан» на основе решения представительного органа </w:t>
            </w:r>
            <w:proofErr w:type="spell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Верхнесалдинского</w:t>
            </w:r>
            <w:proofErr w:type="spell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городского округа </w:t>
            </w:r>
            <w:proofErr w:type="gramStart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о  бюджете</w:t>
            </w:r>
            <w:proofErr w:type="gramEnd"/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на очередной финансовый год и плановый период и  об исполнении местного бюджета за отчетный период</w:t>
            </w:r>
          </w:p>
        </w:tc>
        <w:tc>
          <w:tcPr>
            <w:tcW w:w="7017" w:type="dxa"/>
          </w:tcPr>
          <w:p w:rsidR="001E00C7" w:rsidRPr="0059135C" w:rsidRDefault="004C3215" w:rsidP="0059135C">
            <w:pPr>
              <w:spacing w:after="0" w:line="215" w:lineRule="atLeast"/>
              <w:ind w:right="-30"/>
              <w:jc w:val="both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«Бюджет для граждан» на 2018 и плановый период 2019-2020 годы, исполнение бюджета за 2017</w:t>
            </w:r>
            <w:r w:rsidR="00E7006E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год </w:t>
            </w:r>
            <w:bookmarkStart w:id="3" w:name="_GoBack"/>
            <w:bookmarkEnd w:id="3"/>
            <w:r w:rsidR="001E00C7" w:rsidRPr="00D804E6"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размещены  на официальном сайте городского округа http://v-salda.ru/ekonomika/byudzhet/byudzhet-dlya-grazhdan/</w:t>
            </w:r>
          </w:p>
        </w:tc>
      </w:tr>
    </w:tbl>
    <w:p w:rsidR="001E00C7" w:rsidRDefault="001E00C7" w:rsidP="0001306B">
      <w:pPr>
        <w:spacing w:line="215" w:lineRule="atLeast"/>
        <w:ind w:left="3057" w:right="3057"/>
        <w:rPr>
          <w:rFonts w:ascii="Times New Roman" w:hAnsi="Times New Roman" w:cs="Times New Roman"/>
          <w:sz w:val="28"/>
          <w:szCs w:val="28"/>
          <w:lang w:eastAsia="en-US"/>
        </w:rPr>
      </w:pPr>
    </w:p>
    <w:p w:rsidR="001E00C7" w:rsidRDefault="001E00C7"/>
    <w:p w:rsidR="001E00C7" w:rsidRDefault="001E00C7"/>
    <w:sectPr w:rsidR="001E00C7" w:rsidSect="00D8094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033" w:rsidRDefault="00C92033" w:rsidP="00546159">
      <w:pPr>
        <w:spacing w:after="0" w:line="240" w:lineRule="auto"/>
      </w:pPr>
      <w:r>
        <w:separator/>
      </w:r>
    </w:p>
  </w:endnote>
  <w:endnote w:type="continuationSeparator" w:id="0">
    <w:p w:rsidR="00C92033" w:rsidRDefault="00C92033" w:rsidP="005461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033" w:rsidRDefault="00C92033" w:rsidP="00546159">
      <w:pPr>
        <w:spacing w:after="0" w:line="240" w:lineRule="auto"/>
      </w:pPr>
      <w:r>
        <w:separator/>
      </w:r>
    </w:p>
  </w:footnote>
  <w:footnote w:type="continuationSeparator" w:id="0">
    <w:p w:rsidR="00C92033" w:rsidRDefault="00C92033" w:rsidP="005461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4DD5" w:rsidRDefault="00734DD5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7006E">
      <w:rPr>
        <w:noProof/>
      </w:rPr>
      <w:t>17</w:t>
    </w:r>
    <w:r>
      <w:rPr>
        <w:noProof/>
      </w:rPr>
      <w:fldChar w:fldCharType="end"/>
    </w:r>
  </w:p>
  <w:p w:rsidR="00734DD5" w:rsidRDefault="00734DD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1306B"/>
    <w:rsid w:val="00004350"/>
    <w:rsid w:val="00010895"/>
    <w:rsid w:val="0001306B"/>
    <w:rsid w:val="0001356D"/>
    <w:rsid w:val="000135E3"/>
    <w:rsid w:val="00017AEC"/>
    <w:rsid w:val="00034857"/>
    <w:rsid w:val="00035CE5"/>
    <w:rsid w:val="00041018"/>
    <w:rsid w:val="0004314D"/>
    <w:rsid w:val="00044992"/>
    <w:rsid w:val="0004545D"/>
    <w:rsid w:val="00045B52"/>
    <w:rsid w:val="00050D7A"/>
    <w:rsid w:val="000534DA"/>
    <w:rsid w:val="000542AD"/>
    <w:rsid w:val="00065AE1"/>
    <w:rsid w:val="00070751"/>
    <w:rsid w:val="0007491E"/>
    <w:rsid w:val="000759EC"/>
    <w:rsid w:val="00084417"/>
    <w:rsid w:val="00086F1D"/>
    <w:rsid w:val="00091D6D"/>
    <w:rsid w:val="00095DF6"/>
    <w:rsid w:val="00096037"/>
    <w:rsid w:val="000965B3"/>
    <w:rsid w:val="00096E6B"/>
    <w:rsid w:val="000A2CD7"/>
    <w:rsid w:val="000A351D"/>
    <w:rsid w:val="000A6B81"/>
    <w:rsid w:val="000A7258"/>
    <w:rsid w:val="000B002A"/>
    <w:rsid w:val="000B6E9D"/>
    <w:rsid w:val="000D23D2"/>
    <w:rsid w:val="000E299C"/>
    <w:rsid w:val="000E4C93"/>
    <w:rsid w:val="000E6120"/>
    <w:rsid w:val="000F182F"/>
    <w:rsid w:val="000F31FD"/>
    <w:rsid w:val="000F5A94"/>
    <w:rsid w:val="00102C88"/>
    <w:rsid w:val="001061F8"/>
    <w:rsid w:val="00106B7C"/>
    <w:rsid w:val="00112B6C"/>
    <w:rsid w:val="00113571"/>
    <w:rsid w:val="00121315"/>
    <w:rsid w:val="00126015"/>
    <w:rsid w:val="001276F0"/>
    <w:rsid w:val="00127D1F"/>
    <w:rsid w:val="00131E83"/>
    <w:rsid w:val="0013201D"/>
    <w:rsid w:val="00133388"/>
    <w:rsid w:val="0013338F"/>
    <w:rsid w:val="00136737"/>
    <w:rsid w:val="0014017B"/>
    <w:rsid w:val="00141E97"/>
    <w:rsid w:val="00144E88"/>
    <w:rsid w:val="0014606C"/>
    <w:rsid w:val="00150297"/>
    <w:rsid w:val="001540C2"/>
    <w:rsid w:val="001549D5"/>
    <w:rsid w:val="001556F6"/>
    <w:rsid w:val="00157478"/>
    <w:rsid w:val="00162250"/>
    <w:rsid w:val="0017595A"/>
    <w:rsid w:val="00184DC2"/>
    <w:rsid w:val="001911D0"/>
    <w:rsid w:val="00193B48"/>
    <w:rsid w:val="001A148C"/>
    <w:rsid w:val="001B3DEA"/>
    <w:rsid w:val="001B4134"/>
    <w:rsid w:val="001B5CF7"/>
    <w:rsid w:val="001B79F2"/>
    <w:rsid w:val="001C1B12"/>
    <w:rsid w:val="001C4518"/>
    <w:rsid w:val="001C5CAD"/>
    <w:rsid w:val="001D11D5"/>
    <w:rsid w:val="001D1966"/>
    <w:rsid w:val="001E0031"/>
    <w:rsid w:val="001E00C7"/>
    <w:rsid w:val="001E0B91"/>
    <w:rsid w:val="001E1575"/>
    <w:rsid w:val="001E3CD5"/>
    <w:rsid w:val="001E4038"/>
    <w:rsid w:val="001E4233"/>
    <w:rsid w:val="001E44CE"/>
    <w:rsid w:val="001E7598"/>
    <w:rsid w:val="001F5D04"/>
    <w:rsid w:val="00202757"/>
    <w:rsid w:val="0020518D"/>
    <w:rsid w:val="0021131A"/>
    <w:rsid w:val="002164C4"/>
    <w:rsid w:val="00217BA8"/>
    <w:rsid w:val="00223190"/>
    <w:rsid w:val="0023091E"/>
    <w:rsid w:val="00232412"/>
    <w:rsid w:val="002327D8"/>
    <w:rsid w:val="00234B5A"/>
    <w:rsid w:val="00235862"/>
    <w:rsid w:val="00236E65"/>
    <w:rsid w:val="00240122"/>
    <w:rsid w:val="00242ADE"/>
    <w:rsid w:val="002511BE"/>
    <w:rsid w:val="00253F1D"/>
    <w:rsid w:val="00254109"/>
    <w:rsid w:val="00261B7F"/>
    <w:rsid w:val="00261E6C"/>
    <w:rsid w:val="002720A3"/>
    <w:rsid w:val="002751A1"/>
    <w:rsid w:val="002754C8"/>
    <w:rsid w:val="002809EE"/>
    <w:rsid w:val="00283557"/>
    <w:rsid w:val="00285DDF"/>
    <w:rsid w:val="00286CB6"/>
    <w:rsid w:val="00291DE7"/>
    <w:rsid w:val="002A1A92"/>
    <w:rsid w:val="002B7B27"/>
    <w:rsid w:val="002C1700"/>
    <w:rsid w:val="002C7756"/>
    <w:rsid w:val="002D6237"/>
    <w:rsid w:val="002E46A7"/>
    <w:rsid w:val="002E7BAA"/>
    <w:rsid w:val="002F43A4"/>
    <w:rsid w:val="002F660A"/>
    <w:rsid w:val="002F7E7F"/>
    <w:rsid w:val="003003BD"/>
    <w:rsid w:val="00302DCD"/>
    <w:rsid w:val="0030592D"/>
    <w:rsid w:val="003117EB"/>
    <w:rsid w:val="0031207E"/>
    <w:rsid w:val="00330F90"/>
    <w:rsid w:val="00337CFF"/>
    <w:rsid w:val="00337EF5"/>
    <w:rsid w:val="0034003A"/>
    <w:rsid w:val="00340AF5"/>
    <w:rsid w:val="00343B7C"/>
    <w:rsid w:val="00344A29"/>
    <w:rsid w:val="00347760"/>
    <w:rsid w:val="0035201F"/>
    <w:rsid w:val="00352806"/>
    <w:rsid w:val="0035317C"/>
    <w:rsid w:val="00356A36"/>
    <w:rsid w:val="00362599"/>
    <w:rsid w:val="003646DF"/>
    <w:rsid w:val="00365CB6"/>
    <w:rsid w:val="00365EC8"/>
    <w:rsid w:val="00366DA8"/>
    <w:rsid w:val="0037381A"/>
    <w:rsid w:val="00374A38"/>
    <w:rsid w:val="003818FD"/>
    <w:rsid w:val="00382B37"/>
    <w:rsid w:val="00382E05"/>
    <w:rsid w:val="00383C80"/>
    <w:rsid w:val="00385A4A"/>
    <w:rsid w:val="00385AAA"/>
    <w:rsid w:val="003873A5"/>
    <w:rsid w:val="00395F76"/>
    <w:rsid w:val="003A213E"/>
    <w:rsid w:val="003A3FED"/>
    <w:rsid w:val="003B2628"/>
    <w:rsid w:val="003B4A02"/>
    <w:rsid w:val="003B51A4"/>
    <w:rsid w:val="003B7D89"/>
    <w:rsid w:val="003C483F"/>
    <w:rsid w:val="003C4D0B"/>
    <w:rsid w:val="003C7DE6"/>
    <w:rsid w:val="003D2D66"/>
    <w:rsid w:val="003D30E1"/>
    <w:rsid w:val="003D646D"/>
    <w:rsid w:val="003E207B"/>
    <w:rsid w:val="003E2578"/>
    <w:rsid w:val="003F46B7"/>
    <w:rsid w:val="003F5B50"/>
    <w:rsid w:val="003F6F34"/>
    <w:rsid w:val="003F7214"/>
    <w:rsid w:val="004008BC"/>
    <w:rsid w:val="00401487"/>
    <w:rsid w:val="004026D3"/>
    <w:rsid w:val="00402B27"/>
    <w:rsid w:val="004118A9"/>
    <w:rsid w:val="00413411"/>
    <w:rsid w:val="004179CA"/>
    <w:rsid w:val="004217F7"/>
    <w:rsid w:val="00427905"/>
    <w:rsid w:val="0043353E"/>
    <w:rsid w:val="00441DC3"/>
    <w:rsid w:val="00443FAB"/>
    <w:rsid w:val="00445903"/>
    <w:rsid w:val="00452BBF"/>
    <w:rsid w:val="00453369"/>
    <w:rsid w:val="004535FB"/>
    <w:rsid w:val="0045374A"/>
    <w:rsid w:val="004537E8"/>
    <w:rsid w:val="00462E57"/>
    <w:rsid w:val="004630B3"/>
    <w:rsid w:val="004666AE"/>
    <w:rsid w:val="0047199C"/>
    <w:rsid w:val="004720F6"/>
    <w:rsid w:val="00474A1D"/>
    <w:rsid w:val="00475139"/>
    <w:rsid w:val="00475586"/>
    <w:rsid w:val="00481065"/>
    <w:rsid w:val="0048394F"/>
    <w:rsid w:val="00492D90"/>
    <w:rsid w:val="004978E9"/>
    <w:rsid w:val="004A28F8"/>
    <w:rsid w:val="004A2A4C"/>
    <w:rsid w:val="004A3DEF"/>
    <w:rsid w:val="004A58C2"/>
    <w:rsid w:val="004A7623"/>
    <w:rsid w:val="004A7B60"/>
    <w:rsid w:val="004C005A"/>
    <w:rsid w:val="004C3215"/>
    <w:rsid w:val="004D0C03"/>
    <w:rsid w:val="004D140C"/>
    <w:rsid w:val="004E0F6B"/>
    <w:rsid w:val="004E6487"/>
    <w:rsid w:val="004E6B0F"/>
    <w:rsid w:val="004E7495"/>
    <w:rsid w:val="004F0CC2"/>
    <w:rsid w:val="004F3479"/>
    <w:rsid w:val="004F41B9"/>
    <w:rsid w:val="004F469D"/>
    <w:rsid w:val="00504A24"/>
    <w:rsid w:val="00507AF6"/>
    <w:rsid w:val="0051182A"/>
    <w:rsid w:val="00511C5D"/>
    <w:rsid w:val="00512CAA"/>
    <w:rsid w:val="005149A3"/>
    <w:rsid w:val="00514A61"/>
    <w:rsid w:val="00521453"/>
    <w:rsid w:val="00521AA6"/>
    <w:rsid w:val="00522615"/>
    <w:rsid w:val="00527DF2"/>
    <w:rsid w:val="0053676E"/>
    <w:rsid w:val="00541CD8"/>
    <w:rsid w:val="00542990"/>
    <w:rsid w:val="005432A8"/>
    <w:rsid w:val="00543A48"/>
    <w:rsid w:val="00545922"/>
    <w:rsid w:val="00546159"/>
    <w:rsid w:val="00546C67"/>
    <w:rsid w:val="00547EAE"/>
    <w:rsid w:val="00550D23"/>
    <w:rsid w:val="00553E9F"/>
    <w:rsid w:val="00561A1B"/>
    <w:rsid w:val="005626B1"/>
    <w:rsid w:val="00564ABC"/>
    <w:rsid w:val="00571219"/>
    <w:rsid w:val="00572164"/>
    <w:rsid w:val="00582DFB"/>
    <w:rsid w:val="0059026A"/>
    <w:rsid w:val="0059135C"/>
    <w:rsid w:val="0059701B"/>
    <w:rsid w:val="005A0660"/>
    <w:rsid w:val="005A19A2"/>
    <w:rsid w:val="005A31FA"/>
    <w:rsid w:val="005A38D3"/>
    <w:rsid w:val="005A41C6"/>
    <w:rsid w:val="005B54AB"/>
    <w:rsid w:val="005B631E"/>
    <w:rsid w:val="005C157B"/>
    <w:rsid w:val="005C4671"/>
    <w:rsid w:val="005C7C1C"/>
    <w:rsid w:val="005D0354"/>
    <w:rsid w:val="005D0AC0"/>
    <w:rsid w:val="005D33B9"/>
    <w:rsid w:val="005D62A7"/>
    <w:rsid w:val="005D7C88"/>
    <w:rsid w:val="005E0DDA"/>
    <w:rsid w:val="005E290C"/>
    <w:rsid w:val="005E4B93"/>
    <w:rsid w:val="005E525C"/>
    <w:rsid w:val="005E5D26"/>
    <w:rsid w:val="005F0853"/>
    <w:rsid w:val="005F397E"/>
    <w:rsid w:val="005F6275"/>
    <w:rsid w:val="005F6724"/>
    <w:rsid w:val="006027B0"/>
    <w:rsid w:val="00602D9E"/>
    <w:rsid w:val="00605A24"/>
    <w:rsid w:val="00610680"/>
    <w:rsid w:val="00612B67"/>
    <w:rsid w:val="006202E9"/>
    <w:rsid w:val="00622661"/>
    <w:rsid w:val="00622A05"/>
    <w:rsid w:val="006241CC"/>
    <w:rsid w:val="0062515D"/>
    <w:rsid w:val="0062671B"/>
    <w:rsid w:val="006338CE"/>
    <w:rsid w:val="00636118"/>
    <w:rsid w:val="006412E3"/>
    <w:rsid w:val="0064466D"/>
    <w:rsid w:val="00645373"/>
    <w:rsid w:val="00653B96"/>
    <w:rsid w:val="00660E36"/>
    <w:rsid w:val="0066111A"/>
    <w:rsid w:val="00661BED"/>
    <w:rsid w:val="00667F23"/>
    <w:rsid w:val="00671C83"/>
    <w:rsid w:val="00673A11"/>
    <w:rsid w:val="00676F34"/>
    <w:rsid w:val="0068674E"/>
    <w:rsid w:val="006949E0"/>
    <w:rsid w:val="00695809"/>
    <w:rsid w:val="00697688"/>
    <w:rsid w:val="006A216B"/>
    <w:rsid w:val="006A4A0F"/>
    <w:rsid w:val="006A519F"/>
    <w:rsid w:val="006B0415"/>
    <w:rsid w:val="006B0E59"/>
    <w:rsid w:val="006B37DF"/>
    <w:rsid w:val="006B70E5"/>
    <w:rsid w:val="006B733D"/>
    <w:rsid w:val="006B7C23"/>
    <w:rsid w:val="006C1AB0"/>
    <w:rsid w:val="006C2B4B"/>
    <w:rsid w:val="006C2BCC"/>
    <w:rsid w:val="006C4627"/>
    <w:rsid w:val="006C4CE0"/>
    <w:rsid w:val="006C5DA7"/>
    <w:rsid w:val="006C7016"/>
    <w:rsid w:val="006C714C"/>
    <w:rsid w:val="006C7973"/>
    <w:rsid w:val="006D4CC8"/>
    <w:rsid w:val="006E0E91"/>
    <w:rsid w:val="006E24B1"/>
    <w:rsid w:val="006E4735"/>
    <w:rsid w:val="006F1216"/>
    <w:rsid w:val="006F3481"/>
    <w:rsid w:val="006F4991"/>
    <w:rsid w:val="006F58B0"/>
    <w:rsid w:val="006F76E1"/>
    <w:rsid w:val="0070087D"/>
    <w:rsid w:val="00700B37"/>
    <w:rsid w:val="00707067"/>
    <w:rsid w:val="0071273C"/>
    <w:rsid w:val="007130A0"/>
    <w:rsid w:val="00715F9B"/>
    <w:rsid w:val="00716707"/>
    <w:rsid w:val="00717D08"/>
    <w:rsid w:val="00723A71"/>
    <w:rsid w:val="00724AA7"/>
    <w:rsid w:val="0073456E"/>
    <w:rsid w:val="00734DD5"/>
    <w:rsid w:val="00734F9E"/>
    <w:rsid w:val="00737694"/>
    <w:rsid w:val="007435AE"/>
    <w:rsid w:val="007470FC"/>
    <w:rsid w:val="00751C0D"/>
    <w:rsid w:val="00753F45"/>
    <w:rsid w:val="007673B0"/>
    <w:rsid w:val="00770913"/>
    <w:rsid w:val="00774C33"/>
    <w:rsid w:val="0077753B"/>
    <w:rsid w:val="00780B82"/>
    <w:rsid w:val="007817B5"/>
    <w:rsid w:val="007820DD"/>
    <w:rsid w:val="0078783E"/>
    <w:rsid w:val="00787B0D"/>
    <w:rsid w:val="00790395"/>
    <w:rsid w:val="00792DF3"/>
    <w:rsid w:val="00793FA8"/>
    <w:rsid w:val="007946CF"/>
    <w:rsid w:val="007A2B06"/>
    <w:rsid w:val="007A4E18"/>
    <w:rsid w:val="007A7132"/>
    <w:rsid w:val="007B1B32"/>
    <w:rsid w:val="007C490D"/>
    <w:rsid w:val="007C61A9"/>
    <w:rsid w:val="007C6DB4"/>
    <w:rsid w:val="007C6E72"/>
    <w:rsid w:val="007D0CD6"/>
    <w:rsid w:val="007D1FE2"/>
    <w:rsid w:val="007D4D49"/>
    <w:rsid w:val="007D523D"/>
    <w:rsid w:val="007D63C3"/>
    <w:rsid w:val="007E1CF6"/>
    <w:rsid w:val="007E5F8A"/>
    <w:rsid w:val="007F15FD"/>
    <w:rsid w:val="007F1BC3"/>
    <w:rsid w:val="007F3B97"/>
    <w:rsid w:val="0080290B"/>
    <w:rsid w:val="00803054"/>
    <w:rsid w:val="00803801"/>
    <w:rsid w:val="00804038"/>
    <w:rsid w:val="008161CC"/>
    <w:rsid w:val="00817E98"/>
    <w:rsid w:val="00824FF6"/>
    <w:rsid w:val="008259BD"/>
    <w:rsid w:val="008267F2"/>
    <w:rsid w:val="0082747E"/>
    <w:rsid w:val="008317D0"/>
    <w:rsid w:val="0083264E"/>
    <w:rsid w:val="00835BDA"/>
    <w:rsid w:val="0083779C"/>
    <w:rsid w:val="00842E28"/>
    <w:rsid w:val="00843A92"/>
    <w:rsid w:val="0084471C"/>
    <w:rsid w:val="00845F57"/>
    <w:rsid w:val="0086036E"/>
    <w:rsid w:val="00864349"/>
    <w:rsid w:val="008667E9"/>
    <w:rsid w:val="00867AD0"/>
    <w:rsid w:val="00872F43"/>
    <w:rsid w:val="00876C9F"/>
    <w:rsid w:val="008773EE"/>
    <w:rsid w:val="00880756"/>
    <w:rsid w:val="00880FD6"/>
    <w:rsid w:val="0088318D"/>
    <w:rsid w:val="0088319F"/>
    <w:rsid w:val="00883B9C"/>
    <w:rsid w:val="008862D2"/>
    <w:rsid w:val="00892AE7"/>
    <w:rsid w:val="00894969"/>
    <w:rsid w:val="00896C34"/>
    <w:rsid w:val="008A0CFB"/>
    <w:rsid w:val="008A3B70"/>
    <w:rsid w:val="008A6D92"/>
    <w:rsid w:val="008B02EB"/>
    <w:rsid w:val="008B09F0"/>
    <w:rsid w:val="008B1510"/>
    <w:rsid w:val="008B4269"/>
    <w:rsid w:val="008B6DF9"/>
    <w:rsid w:val="008C3D13"/>
    <w:rsid w:val="008D03C4"/>
    <w:rsid w:val="008D24A6"/>
    <w:rsid w:val="008D6C9F"/>
    <w:rsid w:val="008E16B5"/>
    <w:rsid w:val="008E5062"/>
    <w:rsid w:val="008F083E"/>
    <w:rsid w:val="008F4C71"/>
    <w:rsid w:val="00900F38"/>
    <w:rsid w:val="00913634"/>
    <w:rsid w:val="00921693"/>
    <w:rsid w:val="0092280E"/>
    <w:rsid w:val="00924694"/>
    <w:rsid w:val="00927D25"/>
    <w:rsid w:val="009369D9"/>
    <w:rsid w:val="009401F4"/>
    <w:rsid w:val="009427E2"/>
    <w:rsid w:val="00943677"/>
    <w:rsid w:val="0094660F"/>
    <w:rsid w:val="00950586"/>
    <w:rsid w:val="00950D1B"/>
    <w:rsid w:val="00951B87"/>
    <w:rsid w:val="0095292A"/>
    <w:rsid w:val="00953919"/>
    <w:rsid w:val="00960AFF"/>
    <w:rsid w:val="0096313C"/>
    <w:rsid w:val="00971B5A"/>
    <w:rsid w:val="00976D3A"/>
    <w:rsid w:val="00977470"/>
    <w:rsid w:val="00980BA6"/>
    <w:rsid w:val="0098442F"/>
    <w:rsid w:val="009920C1"/>
    <w:rsid w:val="00996B85"/>
    <w:rsid w:val="00996D32"/>
    <w:rsid w:val="009A59DD"/>
    <w:rsid w:val="009A73EF"/>
    <w:rsid w:val="009B355B"/>
    <w:rsid w:val="009B3B0B"/>
    <w:rsid w:val="009B4358"/>
    <w:rsid w:val="009C6183"/>
    <w:rsid w:val="009C6E4F"/>
    <w:rsid w:val="009E2EEF"/>
    <w:rsid w:val="009E3EFC"/>
    <w:rsid w:val="009E4ABC"/>
    <w:rsid w:val="009E7FBF"/>
    <w:rsid w:val="009F5939"/>
    <w:rsid w:val="009F6611"/>
    <w:rsid w:val="00A027AF"/>
    <w:rsid w:val="00A02AC1"/>
    <w:rsid w:val="00A04855"/>
    <w:rsid w:val="00A04DC1"/>
    <w:rsid w:val="00A06AE2"/>
    <w:rsid w:val="00A17983"/>
    <w:rsid w:val="00A201E7"/>
    <w:rsid w:val="00A23A9A"/>
    <w:rsid w:val="00A23E5F"/>
    <w:rsid w:val="00A24B85"/>
    <w:rsid w:val="00A31A6A"/>
    <w:rsid w:val="00A36C3F"/>
    <w:rsid w:val="00A36DE2"/>
    <w:rsid w:val="00A3796D"/>
    <w:rsid w:val="00A4187F"/>
    <w:rsid w:val="00A43EBA"/>
    <w:rsid w:val="00A514FA"/>
    <w:rsid w:val="00A51741"/>
    <w:rsid w:val="00A53E57"/>
    <w:rsid w:val="00A5705E"/>
    <w:rsid w:val="00A63BF5"/>
    <w:rsid w:val="00A64740"/>
    <w:rsid w:val="00A65B1F"/>
    <w:rsid w:val="00A90B03"/>
    <w:rsid w:val="00AA0E49"/>
    <w:rsid w:val="00AA1195"/>
    <w:rsid w:val="00AA1F53"/>
    <w:rsid w:val="00AA2906"/>
    <w:rsid w:val="00AA6398"/>
    <w:rsid w:val="00AA7CF6"/>
    <w:rsid w:val="00AB22EF"/>
    <w:rsid w:val="00AB4CB2"/>
    <w:rsid w:val="00AB574A"/>
    <w:rsid w:val="00AB70DC"/>
    <w:rsid w:val="00AB7B2A"/>
    <w:rsid w:val="00AC0A3B"/>
    <w:rsid w:val="00AC2988"/>
    <w:rsid w:val="00AD0278"/>
    <w:rsid w:val="00AD0427"/>
    <w:rsid w:val="00AD28D4"/>
    <w:rsid w:val="00AD72A8"/>
    <w:rsid w:val="00AD72BA"/>
    <w:rsid w:val="00AE54A6"/>
    <w:rsid w:val="00AE6EF9"/>
    <w:rsid w:val="00AF3D58"/>
    <w:rsid w:val="00AF402F"/>
    <w:rsid w:val="00AF5131"/>
    <w:rsid w:val="00AF6806"/>
    <w:rsid w:val="00B0522A"/>
    <w:rsid w:val="00B05D56"/>
    <w:rsid w:val="00B138E4"/>
    <w:rsid w:val="00B151F6"/>
    <w:rsid w:val="00B15DBD"/>
    <w:rsid w:val="00B16054"/>
    <w:rsid w:val="00B26A2C"/>
    <w:rsid w:val="00B27326"/>
    <w:rsid w:val="00B31E5F"/>
    <w:rsid w:val="00B35024"/>
    <w:rsid w:val="00B431A9"/>
    <w:rsid w:val="00B46DC8"/>
    <w:rsid w:val="00B53DAA"/>
    <w:rsid w:val="00B555C3"/>
    <w:rsid w:val="00B559C4"/>
    <w:rsid w:val="00B62885"/>
    <w:rsid w:val="00B64CC4"/>
    <w:rsid w:val="00B7182F"/>
    <w:rsid w:val="00B7186E"/>
    <w:rsid w:val="00B7208C"/>
    <w:rsid w:val="00B72A0E"/>
    <w:rsid w:val="00B732E4"/>
    <w:rsid w:val="00B7404B"/>
    <w:rsid w:val="00B77A6F"/>
    <w:rsid w:val="00B80510"/>
    <w:rsid w:val="00B824D6"/>
    <w:rsid w:val="00B8328F"/>
    <w:rsid w:val="00B8595C"/>
    <w:rsid w:val="00B859B9"/>
    <w:rsid w:val="00B86F15"/>
    <w:rsid w:val="00B922C4"/>
    <w:rsid w:val="00B925E0"/>
    <w:rsid w:val="00B94415"/>
    <w:rsid w:val="00B9455A"/>
    <w:rsid w:val="00B97D75"/>
    <w:rsid w:val="00BA013F"/>
    <w:rsid w:val="00BA2797"/>
    <w:rsid w:val="00BA3027"/>
    <w:rsid w:val="00BA5808"/>
    <w:rsid w:val="00BA6764"/>
    <w:rsid w:val="00BB0DCE"/>
    <w:rsid w:val="00BB3731"/>
    <w:rsid w:val="00BB7993"/>
    <w:rsid w:val="00BC017A"/>
    <w:rsid w:val="00BC35FC"/>
    <w:rsid w:val="00BC5231"/>
    <w:rsid w:val="00BC71C4"/>
    <w:rsid w:val="00BD5C56"/>
    <w:rsid w:val="00BD6CCE"/>
    <w:rsid w:val="00BD7EC0"/>
    <w:rsid w:val="00BE2116"/>
    <w:rsid w:val="00BE3318"/>
    <w:rsid w:val="00BE485D"/>
    <w:rsid w:val="00BF085D"/>
    <w:rsid w:val="00BF295D"/>
    <w:rsid w:val="00BF36C7"/>
    <w:rsid w:val="00BF5419"/>
    <w:rsid w:val="00C00145"/>
    <w:rsid w:val="00C12FFF"/>
    <w:rsid w:val="00C167EB"/>
    <w:rsid w:val="00C17BFD"/>
    <w:rsid w:val="00C226C7"/>
    <w:rsid w:val="00C236B5"/>
    <w:rsid w:val="00C32540"/>
    <w:rsid w:val="00C33455"/>
    <w:rsid w:val="00C33F74"/>
    <w:rsid w:val="00C35259"/>
    <w:rsid w:val="00C41348"/>
    <w:rsid w:val="00C427B0"/>
    <w:rsid w:val="00C4406F"/>
    <w:rsid w:val="00C54740"/>
    <w:rsid w:val="00C61C01"/>
    <w:rsid w:val="00C63E22"/>
    <w:rsid w:val="00C6557A"/>
    <w:rsid w:val="00C6557E"/>
    <w:rsid w:val="00C70039"/>
    <w:rsid w:val="00C738D5"/>
    <w:rsid w:val="00C74F0C"/>
    <w:rsid w:val="00C8121A"/>
    <w:rsid w:val="00C82B0F"/>
    <w:rsid w:val="00C86D36"/>
    <w:rsid w:val="00C86DD3"/>
    <w:rsid w:val="00C911CA"/>
    <w:rsid w:val="00C92033"/>
    <w:rsid w:val="00C979F0"/>
    <w:rsid w:val="00CA335E"/>
    <w:rsid w:val="00CA33B5"/>
    <w:rsid w:val="00CA62C8"/>
    <w:rsid w:val="00CB0625"/>
    <w:rsid w:val="00CB3461"/>
    <w:rsid w:val="00CB478A"/>
    <w:rsid w:val="00CB5E82"/>
    <w:rsid w:val="00CC1B85"/>
    <w:rsid w:val="00CD03DD"/>
    <w:rsid w:val="00CD1013"/>
    <w:rsid w:val="00CD15E5"/>
    <w:rsid w:val="00CD43C2"/>
    <w:rsid w:val="00CD514B"/>
    <w:rsid w:val="00CD51D7"/>
    <w:rsid w:val="00CD6E59"/>
    <w:rsid w:val="00CE1387"/>
    <w:rsid w:val="00CE3F86"/>
    <w:rsid w:val="00CF0917"/>
    <w:rsid w:val="00D0140C"/>
    <w:rsid w:val="00D014BA"/>
    <w:rsid w:val="00D032C3"/>
    <w:rsid w:val="00D058D3"/>
    <w:rsid w:val="00D06D02"/>
    <w:rsid w:val="00D071D3"/>
    <w:rsid w:val="00D110B4"/>
    <w:rsid w:val="00D119CE"/>
    <w:rsid w:val="00D15E04"/>
    <w:rsid w:val="00D17C08"/>
    <w:rsid w:val="00D2094F"/>
    <w:rsid w:val="00D21CA9"/>
    <w:rsid w:val="00D2458B"/>
    <w:rsid w:val="00D275FF"/>
    <w:rsid w:val="00D40C4B"/>
    <w:rsid w:val="00D517E1"/>
    <w:rsid w:val="00D53930"/>
    <w:rsid w:val="00D62B63"/>
    <w:rsid w:val="00D6545E"/>
    <w:rsid w:val="00D676DD"/>
    <w:rsid w:val="00D75341"/>
    <w:rsid w:val="00D804E6"/>
    <w:rsid w:val="00D80943"/>
    <w:rsid w:val="00D81399"/>
    <w:rsid w:val="00D8199D"/>
    <w:rsid w:val="00D83EE6"/>
    <w:rsid w:val="00D85FBB"/>
    <w:rsid w:val="00D87E91"/>
    <w:rsid w:val="00D9069F"/>
    <w:rsid w:val="00D9134A"/>
    <w:rsid w:val="00D96605"/>
    <w:rsid w:val="00D97434"/>
    <w:rsid w:val="00DA1A96"/>
    <w:rsid w:val="00DA5489"/>
    <w:rsid w:val="00DB1936"/>
    <w:rsid w:val="00DC0913"/>
    <w:rsid w:val="00DC21EA"/>
    <w:rsid w:val="00DC5A5A"/>
    <w:rsid w:val="00DD240B"/>
    <w:rsid w:val="00DD43E0"/>
    <w:rsid w:val="00DD6D13"/>
    <w:rsid w:val="00DE2BFD"/>
    <w:rsid w:val="00DE4F52"/>
    <w:rsid w:val="00DE548B"/>
    <w:rsid w:val="00DE5738"/>
    <w:rsid w:val="00DE7DA5"/>
    <w:rsid w:val="00DF00D7"/>
    <w:rsid w:val="00DF02C0"/>
    <w:rsid w:val="00DF4650"/>
    <w:rsid w:val="00E01DC2"/>
    <w:rsid w:val="00E02458"/>
    <w:rsid w:val="00E03058"/>
    <w:rsid w:val="00E17457"/>
    <w:rsid w:val="00E22074"/>
    <w:rsid w:val="00E23DC2"/>
    <w:rsid w:val="00E24D58"/>
    <w:rsid w:val="00E36ABF"/>
    <w:rsid w:val="00E36DA4"/>
    <w:rsid w:val="00E3708C"/>
    <w:rsid w:val="00E456D2"/>
    <w:rsid w:val="00E45CE6"/>
    <w:rsid w:val="00E52DE7"/>
    <w:rsid w:val="00E541EF"/>
    <w:rsid w:val="00E56DDF"/>
    <w:rsid w:val="00E5736A"/>
    <w:rsid w:val="00E619C2"/>
    <w:rsid w:val="00E6363E"/>
    <w:rsid w:val="00E6411D"/>
    <w:rsid w:val="00E67A20"/>
    <w:rsid w:val="00E7006E"/>
    <w:rsid w:val="00E77F11"/>
    <w:rsid w:val="00E84065"/>
    <w:rsid w:val="00E8538B"/>
    <w:rsid w:val="00E857F1"/>
    <w:rsid w:val="00E91126"/>
    <w:rsid w:val="00E91A7C"/>
    <w:rsid w:val="00E94FAA"/>
    <w:rsid w:val="00E9521E"/>
    <w:rsid w:val="00E97FED"/>
    <w:rsid w:val="00EA01C7"/>
    <w:rsid w:val="00EA3CCE"/>
    <w:rsid w:val="00EA425D"/>
    <w:rsid w:val="00EA5CC8"/>
    <w:rsid w:val="00EA7E12"/>
    <w:rsid w:val="00EB6542"/>
    <w:rsid w:val="00EB6D33"/>
    <w:rsid w:val="00EB7ACD"/>
    <w:rsid w:val="00EB7D6E"/>
    <w:rsid w:val="00EB7E3D"/>
    <w:rsid w:val="00EC0C0D"/>
    <w:rsid w:val="00EC0EAD"/>
    <w:rsid w:val="00EC3B71"/>
    <w:rsid w:val="00ED14B6"/>
    <w:rsid w:val="00ED1FEF"/>
    <w:rsid w:val="00ED354B"/>
    <w:rsid w:val="00ED49D2"/>
    <w:rsid w:val="00ED52AF"/>
    <w:rsid w:val="00ED73EB"/>
    <w:rsid w:val="00EE22EF"/>
    <w:rsid w:val="00EE5DB9"/>
    <w:rsid w:val="00EE7D87"/>
    <w:rsid w:val="00EF0FF6"/>
    <w:rsid w:val="00EF2394"/>
    <w:rsid w:val="00EF248A"/>
    <w:rsid w:val="00EF633D"/>
    <w:rsid w:val="00EF6388"/>
    <w:rsid w:val="00EF7A36"/>
    <w:rsid w:val="00F02389"/>
    <w:rsid w:val="00F065B3"/>
    <w:rsid w:val="00F10B15"/>
    <w:rsid w:val="00F14944"/>
    <w:rsid w:val="00F14C2A"/>
    <w:rsid w:val="00F17650"/>
    <w:rsid w:val="00F20125"/>
    <w:rsid w:val="00F20B19"/>
    <w:rsid w:val="00F23BE2"/>
    <w:rsid w:val="00F26CD7"/>
    <w:rsid w:val="00F31C99"/>
    <w:rsid w:val="00F32E33"/>
    <w:rsid w:val="00F33D56"/>
    <w:rsid w:val="00F3413E"/>
    <w:rsid w:val="00F35EDA"/>
    <w:rsid w:val="00F411D7"/>
    <w:rsid w:val="00F42382"/>
    <w:rsid w:val="00F44796"/>
    <w:rsid w:val="00F60DFF"/>
    <w:rsid w:val="00F628FE"/>
    <w:rsid w:val="00F629DD"/>
    <w:rsid w:val="00F653BC"/>
    <w:rsid w:val="00F67759"/>
    <w:rsid w:val="00F71B6A"/>
    <w:rsid w:val="00F73171"/>
    <w:rsid w:val="00F738CA"/>
    <w:rsid w:val="00F831DB"/>
    <w:rsid w:val="00F854E5"/>
    <w:rsid w:val="00FA1E2E"/>
    <w:rsid w:val="00FA3F66"/>
    <w:rsid w:val="00FA4AED"/>
    <w:rsid w:val="00FA6BD6"/>
    <w:rsid w:val="00FA6CE4"/>
    <w:rsid w:val="00FB2AD6"/>
    <w:rsid w:val="00FB2AF9"/>
    <w:rsid w:val="00FB78CA"/>
    <w:rsid w:val="00FC0F57"/>
    <w:rsid w:val="00FC2CFA"/>
    <w:rsid w:val="00FC5409"/>
    <w:rsid w:val="00FC59DF"/>
    <w:rsid w:val="00FD3D4B"/>
    <w:rsid w:val="00FE1AA0"/>
    <w:rsid w:val="00FF0822"/>
    <w:rsid w:val="00FF4983"/>
    <w:rsid w:val="00FF58F8"/>
    <w:rsid w:val="00FF5EED"/>
    <w:rsid w:val="00FF6D7E"/>
    <w:rsid w:val="00FF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0F7C11A-6CB4-44B4-B569-877AB20F0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35E3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306B"/>
    <w:pPr>
      <w:ind w:left="113" w:right="113"/>
      <w:jc w:val="center"/>
    </w:pPr>
    <w:rPr>
      <w:rFonts w:cs="Calibri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01306B"/>
    <w:rPr>
      <w:color w:val="0000FF"/>
      <w:u w:val="single"/>
    </w:rPr>
  </w:style>
  <w:style w:type="paragraph" w:customStyle="1" w:styleId="1">
    <w:name w:val="Абзац списка1"/>
    <w:basedOn w:val="a"/>
    <w:uiPriority w:val="99"/>
    <w:rsid w:val="00E6411D"/>
    <w:pPr>
      <w:spacing w:after="0" w:line="240" w:lineRule="auto"/>
      <w:ind w:left="720" w:firstLine="680"/>
      <w:jc w:val="both"/>
    </w:pPr>
    <w:rPr>
      <w:lang w:eastAsia="en-US"/>
    </w:rPr>
  </w:style>
  <w:style w:type="paragraph" w:styleId="a5">
    <w:name w:val="header"/>
    <w:basedOn w:val="a"/>
    <w:link w:val="a6"/>
    <w:uiPriority w:val="99"/>
    <w:rsid w:val="0054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locked/>
    <w:rsid w:val="00546159"/>
  </w:style>
  <w:style w:type="paragraph" w:styleId="a7">
    <w:name w:val="footer"/>
    <w:basedOn w:val="a"/>
    <w:link w:val="a8"/>
    <w:uiPriority w:val="99"/>
    <w:semiHidden/>
    <w:rsid w:val="0054615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locked/>
    <w:rsid w:val="00546159"/>
  </w:style>
  <w:style w:type="paragraph" w:styleId="2">
    <w:name w:val="Body Text 2"/>
    <w:basedOn w:val="a"/>
    <w:link w:val="20"/>
    <w:uiPriority w:val="99"/>
    <w:rsid w:val="0059026A"/>
    <w:pPr>
      <w:autoSpaceDE w:val="0"/>
      <w:autoSpaceDN w:val="0"/>
      <w:adjustRightInd w:val="0"/>
      <w:spacing w:after="0" w:line="240" w:lineRule="auto"/>
      <w:ind w:right="-185" w:hanging="360"/>
    </w:pPr>
    <w:rPr>
      <w:rFonts w:cs="Times New Roman"/>
      <w:sz w:val="24"/>
      <w:szCs w:val="24"/>
    </w:rPr>
  </w:style>
  <w:style w:type="character" w:customStyle="1" w:styleId="20">
    <w:name w:val="Основной текст 2 Знак"/>
    <w:link w:val="2"/>
    <w:uiPriority w:val="99"/>
    <w:locked/>
    <w:rsid w:val="0059026A"/>
    <w:rPr>
      <w:rFonts w:ascii="Times New Roman" w:hAnsi="Times New Roman" w:cs="Times New Roman"/>
      <w:sz w:val="24"/>
      <w:szCs w:val="24"/>
    </w:rPr>
  </w:style>
  <w:style w:type="paragraph" w:styleId="a9">
    <w:name w:val="Body Text"/>
    <w:basedOn w:val="a"/>
    <w:link w:val="aa"/>
    <w:uiPriority w:val="99"/>
    <w:rsid w:val="00717D08"/>
    <w:pPr>
      <w:spacing w:after="120" w:line="240" w:lineRule="auto"/>
    </w:pPr>
    <w:rPr>
      <w:rFonts w:cs="Times New Roman"/>
      <w:sz w:val="24"/>
      <w:szCs w:val="24"/>
    </w:rPr>
  </w:style>
  <w:style w:type="character" w:customStyle="1" w:styleId="aa">
    <w:name w:val="Основной текст Знак"/>
    <w:link w:val="a9"/>
    <w:uiPriority w:val="99"/>
    <w:locked/>
    <w:rsid w:val="00717D08"/>
    <w:rPr>
      <w:rFonts w:ascii="Times New Roman" w:hAnsi="Times New Roman" w:cs="Times New Roman"/>
      <w:sz w:val="24"/>
      <w:szCs w:val="24"/>
    </w:rPr>
  </w:style>
  <w:style w:type="paragraph" w:customStyle="1" w:styleId="ab">
    <w:name w:val="Прижатый влево"/>
    <w:basedOn w:val="a"/>
    <w:next w:val="a"/>
    <w:uiPriority w:val="99"/>
    <w:rsid w:val="00717D0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4A28F8"/>
  </w:style>
  <w:style w:type="paragraph" w:styleId="ac">
    <w:name w:val="Normal (Web)"/>
    <w:basedOn w:val="a"/>
    <w:uiPriority w:val="99"/>
    <w:semiHidden/>
    <w:rsid w:val="004A28F8"/>
    <w:pPr>
      <w:spacing w:before="100" w:beforeAutospacing="1" w:after="100" w:afterAutospacing="1" w:line="240" w:lineRule="auto"/>
    </w:pPr>
    <w:rPr>
      <w:rFonts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1B79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link w:val="ad"/>
    <w:uiPriority w:val="99"/>
    <w:semiHidden/>
    <w:rsid w:val="001B79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459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59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-salda.ru/ekonomika/munitsipalnye-programmy/otchet-ob-ispolnenii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9A61B05DCF29D4870CE573AB4B8D14DAD27E197CA8595D84A965932B3OFj2G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49A61B05DCF29D4870CE573AB4B8D14DAD27E197CA8595D84A965932B3OFj2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9A61B05DCF29D4870CE573AB4B8D14DAD22EF94CE8395D84A965932B3F28FC686A4F0CD3BC813F5ODj5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8E9100-58C7-43C8-86E0-FF5571669E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6169</TotalTime>
  <Pages>19</Pages>
  <Words>6476</Words>
  <Characters>36916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Финуправление</Company>
  <LinksUpToDate>false</LinksUpToDate>
  <CharactersWithSpaces>43306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Александровна</dc:creator>
  <cp:keywords/>
  <dc:description/>
  <cp:lastModifiedBy>Ксения</cp:lastModifiedBy>
  <cp:revision>545</cp:revision>
  <cp:lastPrinted>2019-01-24T10:48:00Z</cp:lastPrinted>
  <dcterms:created xsi:type="dcterms:W3CDTF">2016-01-14T09:22:00Z</dcterms:created>
  <dcterms:modified xsi:type="dcterms:W3CDTF">2019-01-25T06:32:00Z</dcterms:modified>
</cp:coreProperties>
</file>