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09" w:rsidRDefault="00A45578" w:rsidP="00270209">
      <w:pPr>
        <w:pStyle w:val="ad"/>
        <w:jc w:val="center"/>
        <w:rPr>
          <w:rFonts w:ascii="Times New Roman" w:hAnsi="Times New Roman" w:cs="Times New Roman"/>
          <w:b/>
          <w:color w:val="00B050"/>
          <w:sz w:val="24"/>
          <w:szCs w:val="24"/>
          <w:lang w:val="en-US"/>
        </w:rPr>
      </w:pPr>
      <w:r w:rsidRPr="00270209">
        <w:rPr>
          <w:rFonts w:ascii="Times New Roman" w:hAnsi="Times New Roman" w:cs="Times New Roman"/>
          <w:b/>
          <w:color w:val="00B050"/>
          <w:sz w:val="24"/>
          <w:szCs w:val="24"/>
        </w:rPr>
        <w:t>ПАМЯТКА</w:t>
      </w:r>
      <w:r w:rsidR="00270209" w:rsidRPr="00270209">
        <w:rPr>
          <w:rFonts w:ascii="Times New Roman" w:hAnsi="Times New Roman" w:cs="Times New Roman"/>
          <w:b/>
          <w:color w:val="00B050"/>
          <w:sz w:val="24"/>
          <w:szCs w:val="24"/>
        </w:rPr>
        <w:t xml:space="preserve"> </w:t>
      </w:r>
    </w:p>
    <w:p w:rsidR="00CA710C" w:rsidRPr="00270209" w:rsidRDefault="00A45578" w:rsidP="00270209">
      <w:pPr>
        <w:pStyle w:val="ad"/>
        <w:jc w:val="center"/>
        <w:rPr>
          <w:rFonts w:ascii="Times New Roman" w:hAnsi="Times New Roman" w:cs="Times New Roman"/>
          <w:b/>
          <w:color w:val="00B050"/>
          <w:sz w:val="24"/>
          <w:szCs w:val="24"/>
        </w:rPr>
      </w:pPr>
      <w:r w:rsidRPr="00270209">
        <w:rPr>
          <w:rFonts w:ascii="Times New Roman" w:hAnsi="Times New Roman" w:cs="Times New Roman"/>
          <w:color w:val="00B050"/>
          <w:sz w:val="24"/>
          <w:szCs w:val="24"/>
        </w:rPr>
        <w:t>руководителю организации по предоставлению статистической отчетности</w:t>
      </w:r>
    </w:p>
    <w:p w:rsidR="00270209" w:rsidRDefault="00CA710C" w:rsidP="00270209">
      <w:pPr>
        <w:pStyle w:val="ad"/>
        <w:jc w:val="center"/>
        <w:rPr>
          <w:rFonts w:ascii="Times New Roman" w:hAnsi="Times New Roman" w:cs="Times New Roman"/>
          <w:color w:val="00B050"/>
          <w:sz w:val="24"/>
          <w:szCs w:val="24"/>
        </w:rPr>
      </w:pPr>
      <w:r w:rsidRPr="00270209">
        <w:rPr>
          <w:rFonts w:ascii="Times New Roman" w:hAnsi="Times New Roman" w:cs="Times New Roman"/>
          <w:color w:val="00B050"/>
          <w:sz w:val="24"/>
          <w:szCs w:val="24"/>
        </w:rPr>
        <w:t>при перемещении товаров в рамках Евразийского экономического союза</w:t>
      </w:r>
      <w:r w:rsidR="00270209" w:rsidRPr="00270209">
        <w:rPr>
          <w:rFonts w:ascii="Times New Roman" w:hAnsi="Times New Roman" w:cs="Times New Roman"/>
          <w:color w:val="00B050"/>
          <w:sz w:val="24"/>
          <w:szCs w:val="24"/>
        </w:rPr>
        <w:t xml:space="preserve"> (</w:t>
      </w:r>
      <w:r w:rsidR="00270209">
        <w:rPr>
          <w:rFonts w:ascii="Times New Roman" w:hAnsi="Times New Roman" w:cs="Times New Roman"/>
          <w:color w:val="00B050"/>
          <w:sz w:val="24"/>
          <w:szCs w:val="24"/>
        </w:rPr>
        <w:t>ЕАЭС</w:t>
      </w:r>
      <w:r w:rsidR="00270209" w:rsidRPr="00270209">
        <w:rPr>
          <w:rFonts w:ascii="Times New Roman" w:hAnsi="Times New Roman" w:cs="Times New Roman"/>
          <w:color w:val="00B050"/>
          <w:sz w:val="24"/>
          <w:szCs w:val="24"/>
        </w:rPr>
        <w:t>)</w:t>
      </w:r>
      <w:r w:rsidR="00270209">
        <w:rPr>
          <w:rFonts w:ascii="Times New Roman" w:hAnsi="Times New Roman" w:cs="Times New Roman"/>
          <w:color w:val="00B050"/>
          <w:sz w:val="24"/>
          <w:szCs w:val="24"/>
        </w:rPr>
        <w:t>.</w:t>
      </w:r>
    </w:p>
    <w:p w:rsidR="00270209" w:rsidRPr="00270209" w:rsidRDefault="00270209" w:rsidP="00270209">
      <w:pPr>
        <w:pStyle w:val="ad"/>
        <w:jc w:val="center"/>
        <w:rPr>
          <w:rFonts w:ascii="Times New Roman" w:hAnsi="Times New Roman" w:cs="Times New Roman"/>
          <w:color w:val="00B050"/>
          <w:sz w:val="24"/>
          <w:szCs w:val="24"/>
        </w:rPr>
      </w:pPr>
    </w:p>
    <w:p w:rsidR="00D85846" w:rsidRPr="00270209" w:rsidRDefault="00CA710C" w:rsidP="00ED13CE">
      <w:pPr>
        <w:spacing w:after="0" w:line="240" w:lineRule="auto"/>
        <w:ind w:firstLine="709"/>
        <w:jc w:val="both"/>
        <w:rPr>
          <w:rFonts w:ascii="Times New Roman" w:hAnsi="Times New Roman" w:cs="Times New Roman"/>
          <w:sz w:val="24"/>
          <w:szCs w:val="24"/>
        </w:rPr>
      </w:pPr>
      <w:r w:rsidRPr="00270209">
        <w:rPr>
          <w:rFonts w:ascii="Times New Roman" w:hAnsi="Times New Roman" w:cs="Times New Roman"/>
          <w:sz w:val="24"/>
          <w:szCs w:val="24"/>
        </w:rPr>
        <w:t xml:space="preserve">Уральское таможенное управление </w:t>
      </w:r>
      <w:r w:rsidR="00497670" w:rsidRPr="00270209">
        <w:rPr>
          <w:rFonts w:ascii="Times New Roman" w:hAnsi="Times New Roman" w:cs="Times New Roman"/>
          <w:sz w:val="24"/>
          <w:szCs w:val="24"/>
        </w:rPr>
        <w:t>в рамках мероприятий, направленных на правовое  просвещение и информирование лиц по вопрос</w:t>
      </w:r>
      <w:r w:rsidR="00C509EC" w:rsidRPr="00270209">
        <w:rPr>
          <w:rFonts w:ascii="Times New Roman" w:hAnsi="Times New Roman" w:cs="Times New Roman"/>
          <w:sz w:val="24"/>
          <w:szCs w:val="24"/>
        </w:rPr>
        <w:t xml:space="preserve">ам таможенного законодательства, а также </w:t>
      </w:r>
      <w:r w:rsidRPr="00270209">
        <w:rPr>
          <w:rFonts w:ascii="Times New Roman" w:hAnsi="Times New Roman" w:cs="Times New Roman"/>
          <w:sz w:val="24"/>
          <w:szCs w:val="24"/>
        </w:rPr>
        <w:t>профилактик</w:t>
      </w:r>
      <w:r w:rsidR="00C509EC" w:rsidRPr="00270209">
        <w:rPr>
          <w:rFonts w:ascii="Times New Roman" w:hAnsi="Times New Roman" w:cs="Times New Roman"/>
          <w:sz w:val="24"/>
          <w:szCs w:val="24"/>
        </w:rPr>
        <w:t xml:space="preserve">у </w:t>
      </w:r>
      <w:r w:rsidRPr="00270209">
        <w:rPr>
          <w:rFonts w:ascii="Times New Roman" w:hAnsi="Times New Roman" w:cs="Times New Roman"/>
          <w:sz w:val="24"/>
          <w:szCs w:val="24"/>
        </w:rPr>
        <w:t>административных правонарушений</w:t>
      </w:r>
      <w:r w:rsidR="00497670" w:rsidRPr="00270209">
        <w:rPr>
          <w:rFonts w:ascii="Times New Roman" w:hAnsi="Times New Roman" w:cs="Times New Roman"/>
          <w:sz w:val="24"/>
          <w:szCs w:val="24"/>
        </w:rPr>
        <w:t>,</w:t>
      </w:r>
      <w:r w:rsidR="00C509EC" w:rsidRPr="00270209">
        <w:rPr>
          <w:rFonts w:ascii="Times New Roman" w:hAnsi="Times New Roman" w:cs="Times New Roman"/>
          <w:sz w:val="24"/>
          <w:szCs w:val="24"/>
        </w:rPr>
        <w:t xml:space="preserve"> сообщает, что</w:t>
      </w:r>
      <w:r w:rsidR="00D85846" w:rsidRPr="00270209">
        <w:rPr>
          <w:rFonts w:ascii="Times New Roman" w:hAnsi="Times New Roman" w:cs="Times New Roman"/>
          <w:sz w:val="24"/>
          <w:szCs w:val="24"/>
        </w:rPr>
        <w:t xml:space="preserve"> лица, перемещающие товары из Российской Федерации в государства-члены Е</w:t>
      </w:r>
      <w:r w:rsidR="00270209">
        <w:rPr>
          <w:rFonts w:ascii="Times New Roman" w:hAnsi="Times New Roman" w:cs="Times New Roman"/>
          <w:sz w:val="24"/>
          <w:szCs w:val="24"/>
        </w:rPr>
        <w:t>АЭС</w:t>
      </w:r>
      <w:r w:rsidR="00D85846" w:rsidRPr="00270209">
        <w:rPr>
          <w:rFonts w:ascii="Times New Roman" w:hAnsi="Times New Roman" w:cs="Times New Roman"/>
          <w:sz w:val="24"/>
          <w:szCs w:val="24"/>
        </w:rPr>
        <w:t xml:space="preserve"> и в Рос</w:t>
      </w:r>
      <w:r w:rsidR="00A0171C" w:rsidRPr="00270209">
        <w:rPr>
          <w:rFonts w:ascii="Times New Roman" w:hAnsi="Times New Roman" w:cs="Times New Roman"/>
          <w:sz w:val="24"/>
          <w:szCs w:val="24"/>
        </w:rPr>
        <w:t>сийскую Федерацию из государств-</w:t>
      </w:r>
      <w:r w:rsidR="00D85846" w:rsidRPr="00270209">
        <w:rPr>
          <w:rFonts w:ascii="Times New Roman" w:hAnsi="Times New Roman" w:cs="Times New Roman"/>
          <w:sz w:val="24"/>
          <w:szCs w:val="24"/>
        </w:rPr>
        <w:t>членов ЕАЭС обязаны представлять в таможенные органы статистическую форму учета перемещения товаров.</w:t>
      </w:r>
    </w:p>
    <w:p w:rsidR="00EF6736" w:rsidRPr="00270209" w:rsidRDefault="00110FDC" w:rsidP="00ED13CE">
      <w:pPr>
        <w:spacing w:after="0" w:line="240" w:lineRule="auto"/>
        <w:ind w:firstLine="709"/>
        <w:jc w:val="both"/>
        <w:rPr>
          <w:rFonts w:ascii="Times New Roman" w:hAnsi="Times New Roman" w:cs="Times New Roman"/>
          <w:sz w:val="24"/>
          <w:szCs w:val="24"/>
        </w:rPr>
      </w:pPr>
      <w:proofErr w:type="gramStart"/>
      <w:r w:rsidRPr="00270209">
        <w:rPr>
          <w:rFonts w:ascii="Times New Roman" w:hAnsi="Times New Roman" w:cs="Times New Roman"/>
          <w:b/>
          <w:sz w:val="24"/>
          <w:szCs w:val="24"/>
        </w:rPr>
        <w:t xml:space="preserve">Статистическая форма заполняется </w:t>
      </w:r>
      <w:r w:rsidR="00EF6736" w:rsidRPr="00270209">
        <w:rPr>
          <w:rFonts w:ascii="Times New Roman" w:hAnsi="Times New Roman" w:cs="Times New Roman"/>
          <w:b/>
          <w:sz w:val="24"/>
          <w:szCs w:val="24"/>
        </w:rPr>
        <w:t>российским лицом</w:t>
      </w:r>
      <w:r w:rsidR="00EF6736" w:rsidRPr="00270209">
        <w:rPr>
          <w:rStyle w:val="a6"/>
          <w:rFonts w:ascii="Times New Roman" w:hAnsi="Times New Roman" w:cs="Times New Roman"/>
          <w:sz w:val="24"/>
          <w:szCs w:val="24"/>
        </w:rPr>
        <w:footnoteReference w:id="1"/>
      </w:r>
      <w:r w:rsidR="00C509EC" w:rsidRPr="00270209">
        <w:rPr>
          <w:rFonts w:ascii="Times New Roman" w:hAnsi="Times New Roman" w:cs="Times New Roman"/>
          <w:sz w:val="24"/>
          <w:szCs w:val="24"/>
        </w:rPr>
        <w:t>, которое либо заключило сделку, либо от имени (по поручению) которого заключена эта сделка, либо которое имеет право владения, пользования и (или) распоряжения товарами (</w:t>
      </w:r>
      <w:r w:rsidR="001F6799" w:rsidRPr="00270209">
        <w:rPr>
          <w:rFonts w:ascii="Times New Roman" w:hAnsi="Times New Roman" w:cs="Times New Roman"/>
          <w:sz w:val="24"/>
          <w:szCs w:val="24"/>
        </w:rPr>
        <w:t>далее - Заявитель).</w:t>
      </w:r>
      <w:proofErr w:type="gramEnd"/>
    </w:p>
    <w:p w:rsidR="00D85846" w:rsidRPr="00270209" w:rsidRDefault="00D85846" w:rsidP="00110FDC">
      <w:pPr>
        <w:autoSpaceDE w:val="0"/>
        <w:autoSpaceDN w:val="0"/>
        <w:adjustRightInd w:val="0"/>
        <w:spacing w:after="0" w:line="240" w:lineRule="auto"/>
        <w:ind w:firstLine="709"/>
        <w:jc w:val="both"/>
        <w:rPr>
          <w:rFonts w:ascii="Times New Roman" w:hAnsi="Times New Roman" w:cs="Times New Roman"/>
          <w:sz w:val="24"/>
          <w:szCs w:val="24"/>
        </w:rPr>
      </w:pPr>
      <w:r w:rsidRPr="00270209">
        <w:rPr>
          <w:rFonts w:ascii="Times New Roman" w:hAnsi="Times New Roman" w:cs="Times New Roman"/>
          <w:b/>
          <w:sz w:val="24"/>
          <w:szCs w:val="24"/>
        </w:rPr>
        <w:t>П</w:t>
      </w:r>
      <w:r w:rsidR="00EF6736" w:rsidRPr="00270209">
        <w:rPr>
          <w:rFonts w:ascii="Times New Roman" w:hAnsi="Times New Roman" w:cs="Times New Roman"/>
          <w:b/>
          <w:sz w:val="24"/>
          <w:szCs w:val="24"/>
        </w:rPr>
        <w:t>редставляется в таможенный орган</w:t>
      </w:r>
      <w:r w:rsidR="00EF6736" w:rsidRPr="00270209">
        <w:rPr>
          <w:rFonts w:ascii="Times New Roman" w:hAnsi="Times New Roman" w:cs="Times New Roman"/>
          <w:sz w:val="24"/>
          <w:szCs w:val="24"/>
        </w:rPr>
        <w:t>, в регионе деятельности которого заявитель состоит на учете в налоговом органе в соответствии с законодательством Российской Федерации о налогах и сборах</w:t>
      </w:r>
      <w:r w:rsidRPr="00270209">
        <w:rPr>
          <w:rFonts w:ascii="Times New Roman" w:hAnsi="Times New Roman" w:cs="Times New Roman"/>
          <w:sz w:val="24"/>
          <w:szCs w:val="24"/>
        </w:rPr>
        <w:t>.</w:t>
      </w:r>
    </w:p>
    <w:p w:rsidR="00110FDC" w:rsidRPr="00270209" w:rsidRDefault="00D85846" w:rsidP="00110FDC">
      <w:pPr>
        <w:autoSpaceDE w:val="0"/>
        <w:autoSpaceDN w:val="0"/>
        <w:adjustRightInd w:val="0"/>
        <w:spacing w:after="0" w:line="240" w:lineRule="auto"/>
        <w:ind w:firstLine="709"/>
        <w:jc w:val="both"/>
        <w:rPr>
          <w:rFonts w:ascii="Times New Roman" w:hAnsi="Times New Roman" w:cs="Times New Roman"/>
          <w:sz w:val="24"/>
          <w:szCs w:val="24"/>
        </w:rPr>
      </w:pPr>
      <w:r w:rsidRPr="00270209">
        <w:rPr>
          <w:rFonts w:ascii="Times New Roman" w:hAnsi="Times New Roman" w:cs="Times New Roman"/>
          <w:b/>
          <w:sz w:val="24"/>
          <w:szCs w:val="24"/>
        </w:rPr>
        <w:t>В сроки</w:t>
      </w:r>
      <w:r w:rsidRPr="00270209">
        <w:rPr>
          <w:rFonts w:ascii="Times New Roman" w:hAnsi="Times New Roman" w:cs="Times New Roman"/>
          <w:i/>
          <w:sz w:val="24"/>
          <w:szCs w:val="24"/>
        </w:rPr>
        <w:t>:</w:t>
      </w:r>
      <w:r w:rsidRPr="00270209">
        <w:rPr>
          <w:rFonts w:ascii="Times New Roman" w:hAnsi="Times New Roman" w:cs="Times New Roman"/>
          <w:sz w:val="24"/>
          <w:szCs w:val="24"/>
        </w:rPr>
        <w:t xml:space="preserve"> </w:t>
      </w:r>
      <w:r w:rsidR="00C749ED" w:rsidRPr="00270209">
        <w:rPr>
          <w:rFonts w:ascii="Times New Roman" w:hAnsi="Times New Roman" w:cs="Times New Roman"/>
          <w:sz w:val="24"/>
          <w:szCs w:val="24"/>
        </w:rPr>
        <w:t>не позднее 8-го рабочего дня месяца, следующего за месяцем, в котором произведены отгрузка товаров со склада или получение товаров на склад.</w:t>
      </w:r>
    </w:p>
    <w:p w:rsidR="001F6799" w:rsidRPr="00270209" w:rsidRDefault="001F6799" w:rsidP="001F6799">
      <w:pPr>
        <w:pStyle w:val="Default"/>
        <w:ind w:firstLine="709"/>
        <w:jc w:val="both"/>
      </w:pPr>
      <w:r w:rsidRPr="00270209">
        <w:rPr>
          <w:b/>
        </w:rPr>
        <w:t>Статистическая форма заполняется</w:t>
      </w:r>
      <w:r w:rsidRPr="00270209">
        <w:rPr>
          <w:b/>
          <w:i/>
        </w:rPr>
        <w:t xml:space="preserve"> </w:t>
      </w:r>
      <w:r w:rsidRPr="00270209">
        <w:rPr>
          <w:b/>
        </w:rPr>
        <w:t>в соответствии с Правилами</w:t>
      </w:r>
      <w:r w:rsidRPr="00270209">
        <w:t xml:space="preserve"> заполнения статистической формы учета перемещения товаров, утвержденными постановлением Правительства Российской Федерации от 07.12.2015 № 1329. </w:t>
      </w:r>
    </w:p>
    <w:p w:rsidR="001F6799" w:rsidRPr="00270209" w:rsidRDefault="001F6799" w:rsidP="001F6799">
      <w:pPr>
        <w:autoSpaceDE w:val="0"/>
        <w:autoSpaceDN w:val="0"/>
        <w:adjustRightInd w:val="0"/>
        <w:spacing w:after="0" w:line="240" w:lineRule="auto"/>
        <w:ind w:firstLine="709"/>
        <w:jc w:val="both"/>
        <w:rPr>
          <w:rFonts w:ascii="Times New Roman" w:hAnsi="Times New Roman" w:cs="Times New Roman"/>
          <w:sz w:val="24"/>
          <w:szCs w:val="24"/>
        </w:rPr>
      </w:pPr>
      <w:r w:rsidRPr="00270209">
        <w:rPr>
          <w:rFonts w:ascii="Times New Roman" w:hAnsi="Times New Roman" w:cs="Times New Roman"/>
          <w:b/>
          <w:sz w:val="24"/>
          <w:szCs w:val="24"/>
        </w:rPr>
        <w:t>Представляется через официальный Интернет-сайт ФТС России</w:t>
      </w:r>
      <w:r w:rsidRPr="00270209">
        <w:rPr>
          <w:rFonts w:ascii="Times New Roman" w:hAnsi="Times New Roman" w:cs="Times New Roman"/>
          <w:sz w:val="24"/>
          <w:szCs w:val="24"/>
        </w:rPr>
        <w:t xml:space="preserve"> (www.customs.ru) в разделе «Представление статистической формы» с помощью Личного кабинета участника ВЭД сервис - «Статистическое декларирование». В данном разделе размещены подробные инструкции для участников ВЭД о порядке заполнения и отправки статистических форм, список таможенных органов, уполномоченных принимать </w:t>
      </w:r>
      <w:proofErr w:type="spellStart"/>
      <w:r w:rsidRPr="00270209">
        <w:rPr>
          <w:rFonts w:ascii="Times New Roman" w:hAnsi="Times New Roman" w:cs="Times New Roman"/>
          <w:sz w:val="24"/>
          <w:szCs w:val="24"/>
        </w:rPr>
        <w:t>статформы</w:t>
      </w:r>
      <w:proofErr w:type="spellEnd"/>
      <w:r w:rsidRPr="00270209">
        <w:rPr>
          <w:rFonts w:ascii="Times New Roman" w:hAnsi="Times New Roman" w:cs="Times New Roman"/>
          <w:sz w:val="24"/>
          <w:szCs w:val="24"/>
        </w:rPr>
        <w:t xml:space="preserve">, график представления </w:t>
      </w:r>
      <w:proofErr w:type="spellStart"/>
      <w:r w:rsidRPr="00270209">
        <w:rPr>
          <w:rFonts w:ascii="Times New Roman" w:hAnsi="Times New Roman" w:cs="Times New Roman"/>
          <w:sz w:val="24"/>
          <w:szCs w:val="24"/>
        </w:rPr>
        <w:t>статформ</w:t>
      </w:r>
      <w:proofErr w:type="spellEnd"/>
      <w:r w:rsidRPr="00270209">
        <w:rPr>
          <w:rFonts w:ascii="Times New Roman" w:hAnsi="Times New Roman" w:cs="Times New Roman"/>
          <w:sz w:val="24"/>
          <w:szCs w:val="24"/>
        </w:rPr>
        <w:t>.</w:t>
      </w:r>
    </w:p>
    <w:p w:rsidR="00A0171C" w:rsidRPr="00270209" w:rsidRDefault="001F6799" w:rsidP="00A0171C">
      <w:pPr>
        <w:autoSpaceDE w:val="0"/>
        <w:autoSpaceDN w:val="0"/>
        <w:adjustRightInd w:val="0"/>
        <w:spacing w:after="0" w:line="240" w:lineRule="auto"/>
        <w:ind w:firstLine="540"/>
        <w:jc w:val="both"/>
        <w:rPr>
          <w:rFonts w:ascii="Times New Roman" w:hAnsi="Times New Roman" w:cs="Times New Roman"/>
          <w:sz w:val="24"/>
          <w:szCs w:val="24"/>
        </w:rPr>
      </w:pPr>
      <w:r w:rsidRPr="00270209">
        <w:rPr>
          <w:rFonts w:ascii="Times New Roman" w:hAnsi="Times New Roman" w:cs="Times New Roman"/>
          <w:sz w:val="24"/>
          <w:szCs w:val="24"/>
        </w:rPr>
        <w:tab/>
      </w:r>
      <w:r w:rsidR="00A0171C" w:rsidRPr="00270209">
        <w:rPr>
          <w:rFonts w:ascii="Times New Roman" w:hAnsi="Times New Roman" w:cs="Times New Roman"/>
          <w:i/>
          <w:sz w:val="24"/>
          <w:szCs w:val="24"/>
        </w:rPr>
        <w:t>При наличии у заявителя электронной подписи</w:t>
      </w:r>
      <w:r w:rsidR="00A0171C" w:rsidRPr="00270209">
        <w:rPr>
          <w:rFonts w:ascii="Times New Roman" w:hAnsi="Times New Roman" w:cs="Times New Roman"/>
          <w:sz w:val="24"/>
          <w:szCs w:val="24"/>
        </w:rPr>
        <w:t xml:space="preserve"> статистическая форма представляется только в виде электронного документа, заверенного электронной подписью, в следующем порядке:</w:t>
      </w:r>
    </w:p>
    <w:p w:rsidR="00A0171C" w:rsidRPr="00270209" w:rsidRDefault="00A0171C" w:rsidP="00A0171C">
      <w:pPr>
        <w:pStyle w:val="Default"/>
        <w:jc w:val="both"/>
      </w:pPr>
      <w:r w:rsidRPr="00270209">
        <w:tab/>
        <w:t>- заполните электронную форму;</w:t>
      </w:r>
    </w:p>
    <w:p w:rsidR="00A0171C" w:rsidRPr="00270209" w:rsidRDefault="00A0171C" w:rsidP="00A0171C">
      <w:pPr>
        <w:pStyle w:val="Default"/>
        <w:jc w:val="both"/>
      </w:pPr>
      <w:r w:rsidRPr="00270209">
        <w:tab/>
        <w:t>- проверьте правильность и полноту заполнения статистической формы;</w:t>
      </w:r>
    </w:p>
    <w:p w:rsidR="00A0171C" w:rsidRPr="00270209" w:rsidRDefault="00A0171C" w:rsidP="00A0171C">
      <w:pPr>
        <w:pStyle w:val="Default"/>
        <w:jc w:val="both"/>
      </w:pPr>
      <w:r w:rsidRPr="00270209">
        <w:tab/>
        <w:t>- отправьте заполненную форму в соответствующий таможенный орган, заверив ее электронной подписью;</w:t>
      </w:r>
    </w:p>
    <w:p w:rsidR="002612BA" w:rsidRPr="00270209" w:rsidRDefault="00A0171C" w:rsidP="004069CD">
      <w:pPr>
        <w:pStyle w:val="Default"/>
        <w:jc w:val="both"/>
      </w:pPr>
      <w:r w:rsidRPr="00270209">
        <w:tab/>
        <w:t xml:space="preserve">- получите регистрационный номер статистической формы, присвоенный ей при автоматической регистрации в таможенном органе. </w:t>
      </w:r>
    </w:p>
    <w:p w:rsidR="00A0171C" w:rsidRPr="00270209" w:rsidRDefault="00A0171C" w:rsidP="00A0171C">
      <w:pPr>
        <w:autoSpaceDE w:val="0"/>
        <w:autoSpaceDN w:val="0"/>
        <w:adjustRightInd w:val="0"/>
        <w:spacing w:after="0" w:line="240" w:lineRule="auto"/>
        <w:ind w:firstLine="540"/>
        <w:jc w:val="both"/>
        <w:rPr>
          <w:rFonts w:ascii="Times New Roman" w:hAnsi="Times New Roman" w:cs="Times New Roman"/>
          <w:sz w:val="24"/>
          <w:szCs w:val="24"/>
        </w:rPr>
      </w:pPr>
      <w:r w:rsidRPr="00270209">
        <w:rPr>
          <w:rFonts w:ascii="Times New Roman" w:hAnsi="Times New Roman" w:cs="Times New Roman"/>
          <w:i/>
          <w:sz w:val="24"/>
          <w:szCs w:val="24"/>
        </w:rPr>
        <w:tab/>
        <w:t>В случае отсутствия у заявителя электронно</w:t>
      </w:r>
      <w:r w:rsidR="00C854CA" w:rsidRPr="00270209">
        <w:rPr>
          <w:rFonts w:ascii="Times New Roman" w:hAnsi="Times New Roman" w:cs="Times New Roman"/>
          <w:i/>
          <w:sz w:val="24"/>
          <w:szCs w:val="24"/>
        </w:rPr>
        <w:t>й подписи</w:t>
      </w:r>
      <w:r w:rsidR="00C854CA" w:rsidRPr="00270209">
        <w:rPr>
          <w:rFonts w:ascii="Times New Roman" w:hAnsi="Times New Roman" w:cs="Times New Roman"/>
          <w:sz w:val="24"/>
          <w:szCs w:val="24"/>
        </w:rPr>
        <w:t xml:space="preserve"> статистическая форма</w:t>
      </w:r>
      <w:r w:rsidRPr="00270209">
        <w:rPr>
          <w:rFonts w:ascii="Times New Roman" w:hAnsi="Times New Roman" w:cs="Times New Roman"/>
          <w:sz w:val="24"/>
          <w:szCs w:val="24"/>
        </w:rPr>
        <w:t>, представляется в таможенный орган на бумажном носителе, в следующем порядке:</w:t>
      </w:r>
    </w:p>
    <w:p w:rsidR="00A0171C" w:rsidRPr="00270209" w:rsidRDefault="00A0171C" w:rsidP="00A0171C">
      <w:pPr>
        <w:pStyle w:val="Default"/>
        <w:jc w:val="both"/>
      </w:pPr>
      <w:r w:rsidRPr="00270209">
        <w:tab/>
        <w:t>- заполните электронную форму</w:t>
      </w:r>
      <w:r w:rsidR="00C854CA" w:rsidRPr="00270209">
        <w:t>;</w:t>
      </w:r>
      <w:r w:rsidRPr="00270209">
        <w:t xml:space="preserve"> </w:t>
      </w:r>
    </w:p>
    <w:p w:rsidR="00C854CA" w:rsidRPr="00270209" w:rsidRDefault="00A0171C" w:rsidP="00C854CA">
      <w:pPr>
        <w:pStyle w:val="Default"/>
        <w:jc w:val="both"/>
      </w:pPr>
      <w:r w:rsidRPr="00270209">
        <w:tab/>
        <w:t xml:space="preserve">- </w:t>
      </w:r>
      <w:r w:rsidR="00C854CA" w:rsidRPr="00270209">
        <w:t>п</w:t>
      </w:r>
      <w:r w:rsidRPr="00270209">
        <w:t xml:space="preserve">роверьте правильность и полноту заполнения </w:t>
      </w:r>
      <w:r w:rsidR="00C854CA" w:rsidRPr="00270209">
        <w:t>статистической формы;</w:t>
      </w:r>
    </w:p>
    <w:p w:rsidR="00A0171C" w:rsidRPr="00270209" w:rsidRDefault="00C854CA" w:rsidP="00A0171C">
      <w:pPr>
        <w:pStyle w:val="Default"/>
        <w:jc w:val="both"/>
      </w:pPr>
      <w:r w:rsidRPr="00270209">
        <w:tab/>
        <w:t>- п</w:t>
      </w:r>
      <w:r w:rsidR="00A0171C" w:rsidRPr="00270209">
        <w:t xml:space="preserve">олучите системный номер и распечатайте </w:t>
      </w:r>
      <w:r w:rsidRPr="00270209">
        <w:t>статистическую форму;</w:t>
      </w:r>
    </w:p>
    <w:p w:rsidR="00A0171C" w:rsidRPr="00270209" w:rsidRDefault="00C854CA" w:rsidP="00A0171C">
      <w:pPr>
        <w:pStyle w:val="Default"/>
        <w:jc w:val="both"/>
      </w:pPr>
      <w:r w:rsidRPr="00270209">
        <w:tab/>
        <w:t>- заверьте статистическую форму подписью и печатью заявителя (при ее наличии);</w:t>
      </w:r>
    </w:p>
    <w:p w:rsidR="00C854CA" w:rsidRPr="00270209" w:rsidRDefault="00C854CA" w:rsidP="002612BA">
      <w:pPr>
        <w:autoSpaceDE w:val="0"/>
        <w:autoSpaceDN w:val="0"/>
        <w:adjustRightInd w:val="0"/>
        <w:spacing w:after="0" w:line="240" w:lineRule="auto"/>
        <w:ind w:firstLine="709"/>
        <w:jc w:val="both"/>
        <w:rPr>
          <w:rFonts w:ascii="Times New Roman" w:hAnsi="Times New Roman" w:cs="Times New Roman"/>
          <w:sz w:val="24"/>
          <w:szCs w:val="24"/>
        </w:rPr>
      </w:pPr>
      <w:r w:rsidRPr="00270209">
        <w:rPr>
          <w:rFonts w:ascii="Times New Roman" w:hAnsi="Times New Roman" w:cs="Times New Roman"/>
          <w:sz w:val="24"/>
          <w:szCs w:val="24"/>
        </w:rPr>
        <w:t>- подайте на бумажном носителе лично либо заказным почтовым отправлением в таможенный орган;</w:t>
      </w:r>
    </w:p>
    <w:p w:rsidR="00C854CA" w:rsidRPr="00270209" w:rsidRDefault="00C854CA" w:rsidP="002612BA">
      <w:pPr>
        <w:autoSpaceDE w:val="0"/>
        <w:autoSpaceDN w:val="0"/>
        <w:adjustRightInd w:val="0"/>
        <w:spacing w:after="0" w:line="240" w:lineRule="auto"/>
        <w:ind w:firstLine="709"/>
        <w:jc w:val="both"/>
        <w:rPr>
          <w:rFonts w:ascii="Times New Roman" w:hAnsi="Times New Roman" w:cs="Times New Roman"/>
          <w:sz w:val="24"/>
          <w:szCs w:val="24"/>
        </w:rPr>
      </w:pPr>
      <w:r w:rsidRPr="00270209">
        <w:rPr>
          <w:rFonts w:ascii="Times New Roman" w:hAnsi="Times New Roman" w:cs="Times New Roman"/>
          <w:sz w:val="24"/>
          <w:szCs w:val="24"/>
        </w:rPr>
        <w:t xml:space="preserve">- запросите и получите регистрационный номер статистической формы (срок регистрации </w:t>
      </w:r>
      <w:proofErr w:type="spellStart"/>
      <w:r w:rsidRPr="00270209">
        <w:rPr>
          <w:rFonts w:ascii="Times New Roman" w:hAnsi="Times New Roman" w:cs="Times New Roman"/>
          <w:sz w:val="24"/>
          <w:szCs w:val="24"/>
        </w:rPr>
        <w:t>статформы</w:t>
      </w:r>
      <w:proofErr w:type="spellEnd"/>
      <w:r w:rsidRPr="00270209">
        <w:rPr>
          <w:rFonts w:ascii="Times New Roman" w:hAnsi="Times New Roman" w:cs="Times New Roman"/>
          <w:sz w:val="24"/>
          <w:szCs w:val="24"/>
        </w:rPr>
        <w:t xml:space="preserve"> в таможенных органах – три дня с момента получения).</w:t>
      </w:r>
    </w:p>
    <w:p w:rsidR="002612BA" w:rsidRPr="00270209" w:rsidRDefault="002612BA" w:rsidP="00270209">
      <w:pPr>
        <w:autoSpaceDE w:val="0"/>
        <w:autoSpaceDN w:val="0"/>
        <w:adjustRightInd w:val="0"/>
        <w:spacing w:after="0" w:line="240" w:lineRule="auto"/>
        <w:ind w:firstLine="709"/>
        <w:jc w:val="both"/>
        <w:rPr>
          <w:rFonts w:ascii="Times New Roman" w:hAnsi="Times New Roman" w:cs="Times New Roman"/>
          <w:i/>
          <w:sz w:val="24"/>
          <w:szCs w:val="24"/>
        </w:rPr>
      </w:pPr>
      <w:proofErr w:type="gramStart"/>
      <w:r w:rsidRPr="00270209">
        <w:rPr>
          <w:rFonts w:ascii="Times New Roman" w:hAnsi="Times New Roman" w:cs="Times New Roman"/>
          <w:b/>
          <w:sz w:val="24"/>
          <w:szCs w:val="24"/>
        </w:rPr>
        <w:t>Следует отметить</w:t>
      </w:r>
      <w:r w:rsidRPr="00270209">
        <w:rPr>
          <w:rFonts w:ascii="Times New Roman" w:hAnsi="Times New Roman" w:cs="Times New Roman"/>
          <w:sz w:val="24"/>
          <w:szCs w:val="24"/>
        </w:rPr>
        <w:t xml:space="preserve">, что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8" w:history="1">
        <w:r w:rsidRPr="00270209">
          <w:rPr>
            <w:rFonts w:ascii="Times New Roman" w:hAnsi="Times New Roman" w:cs="Times New Roman"/>
            <w:sz w:val="24"/>
            <w:szCs w:val="24"/>
          </w:rPr>
          <w:t>формы</w:t>
        </w:r>
      </w:hyperlink>
      <w:r w:rsidRPr="00270209">
        <w:rPr>
          <w:rFonts w:ascii="Times New Roman" w:hAnsi="Times New Roman" w:cs="Times New Roman"/>
          <w:sz w:val="24"/>
          <w:szCs w:val="24"/>
        </w:rPr>
        <w:t xml:space="preserve"> учета перемещения товаров, содер</w:t>
      </w:r>
      <w:r w:rsidR="00ED13CE" w:rsidRPr="00270209">
        <w:rPr>
          <w:rFonts w:ascii="Times New Roman" w:hAnsi="Times New Roman" w:cs="Times New Roman"/>
          <w:sz w:val="24"/>
          <w:szCs w:val="24"/>
        </w:rPr>
        <w:t xml:space="preserve">жащей недостоверные сведения в соответствии со ст.19.7.13 Кодекса Российской Федерации об административных правонарушениях </w:t>
      </w:r>
      <w:r w:rsidRPr="00270209">
        <w:rPr>
          <w:rFonts w:ascii="Times New Roman" w:hAnsi="Times New Roman" w:cs="Times New Roman"/>
          <w:sz w:val="24"/>
          <w:szCs w:val="24"/>
        </w:rPr>
        <w:t xml:space="preserve">влечет наложение </w:t>
      </w:r>
      <w:r w:rsidRPr="00270209">
        <w:rPr>
          <w:rFonts w:ascii="Times New Roman" w:hAnsi="Times New Roman" w:cs="Times New Roman"/>
          <w:i/>
          <w:sz w:val="24"/>
          <w:szCs w:val="24"/>
        </w:rPr>
        <w:t xml:space="preserve">административного штрафа на должностных лиц в размере </w:t>
      </w:r>
      <w:r w:rsidRPr="00270209">
        <w:rPr>
          <w:rFonts w:ascii="Times New Roman" w:hAnsi="Times New Roman" w:cs="Times New Roman"/>
          <w:i/>
          <w:sz w:val="24"/>
          <w:szCs w:val="24"/>
        </w:rPr>
        <w:lastRenderedPageBreak/>
        <w:t>от десяти тысяч до пятнадцати тысяч рублей</w:t>
      </w:r>
      <w:r w:rsidRPr="00270209">
        <w:rPr>
          <w:rFonts w:ascii="Times New Roman" w:hAnsi="Times New Roman" w:cs="Times New Roman"/>
          <w:sz w:val="24"/>
          <w:szCs w:val="24"/>
        </w:rPr>
        <w:t>;</w:t>
      </w:r>
      <w:proofErr w:type="gramEnd"/>
      <w:r w:rsidRPr="00270209">
        <w:rPr>
          <w:rFonts w:ascii="Times New Roman" w:hAnsi="Times New Roman" w:cs="Times New Roman"/>
          <w:sz w:val="24"/>
          <w:szCs w:val="24"/>
        </w:rPr>
        <w:t xml:space="preserve"> </w:t>
      </w:r>
      <w:r w:rsidRPr="00270209">
        <w:rPr>
          <w:rFonts w:ascii="Times New Roman" w:hAnsi="Times New Roman" w:cs="Times New Roman"/>
          <w:i/>
          <w:sz w:val="24"/>
          <w:szCs w:val="24"/>
        </w:rPr>
        <w:t>на юридических лиц - от двадцати тысяч до пятидесяти тысяч рублей.</w:t>
      </w:r>
      <w:r w:rsidR="00ED13CE" w:rsidRPr="00270209">
        <w:rPr>
          <w:rFonts w:ascii="Times New Roman" w:hAnsi="Times New Roman" w:cs="Times New Roman"/>
          <w:i/>
          <w:sz w:val="24"/>
          <w:szCs w:val="24"/>
        </w:rPr>
        <w:t xml:space="preserve"> </w:t>
      </w:r>
      <w:r w:rsidRPr="00270209">
        <w:rPr>
          <w:rFonts w:ascii="Times New Roman" w:hAnsi="Times New Roman" w:cs="Times New Roman"/>
          <w:sz w:val="24"/>
          <w:szCs w:val="24"/>
        </w:rPr>
        <w:t xml:space="preserve">Повторное совершение данного правонарушения влечет наложение административного штрафа </w:t>
      </w:r>
      <w:r w:rsidRPr="00270209">
        <w:rPr>
          <w:rFonts w:ascii="Times New Roman" w:hAnsi="Times New Roman" w:cs="Times New Roman"/>
          <w:i/>
          <w:sz w:val="24"/>
          <w:szCs w:val="24"/>
        </w:rPr>
        <w:t>на должностных лиц в размере от двадцати тысяч до тридцати тысяч рублей</w:t>
      </w:r>
      <w:r w:rsidRPr="00270209">
        <w:rPr>
          <w:rFonts w:ascii="Times New Roman" w:hAnsi="Times New Roman" w:cs="Times New Roman"/>
          <w:sz w:val="24"/>
          <w:szCs w:val="24"/>
        </w:rPr>
        <w:t>;</w:t>
      </w:r>
      <w:r w:rsidRPr="00270209">
        <w:rPr>
          <w:rFonts w:ascii="Times New Roman" w:hAnsi="Times New Roman" w:cs="Times New Roman"/>
          <w:i/>
          <w:sz w:val="24"/>
          <w:szCs w:val="24"/>
        </w:rPr>
        <w:t xml:space="preserve"> на юридических лиц - от пятидесяти тысяч до ста тысяч рублей.</w:t>
      </w:r>
    </w:p>
    <w:p w:rsidR="00CA710C" w:rsidRPr="00270209" w:rsidRDefault="002612BA" w:rsidP="00270209">
      <w:pPr>
        <w:autoSpaceDE w:val="0"/>
        <w:autoSpaceDN w:val="0"/>
        <w:adjustRightInd w:val="0"/>
        <w:spacing w:after="0" w:line="240" w:lineRule="auto"/>
        <w:ind w:firstLine="540"/>
        <w:jc w:val="both"/>
        <w:rPr>
          <w:rFonts w:ascii="Times New Roman" w:hAnsi="Times New Roman" w:cs="Times New Roman"/>
          <w:sz w:val="24"/>
          <w:szCs w:val="24"/>
        </w:rPr>
      </w:pPr>
      <w:r w:rsidRPr="00270209">
        <w:rPr>
          <w:rFonts w:ascii="Times New Roman" w:hAnsi="Times New Roman" w:cs="Times New Roman"/>
          <w:sz w:val="24"/>
          <w:szCs w:val="24"/>
        </w:rPr>
        <w:tab/>
      </w:r>
      <w:proofErr w:type="gramStart"/>
      <w:r w:rsidRPr="00270209">
        <w:rPr>
          <w:rFonts w:ascii="Times New Roman" w:hAnsi="Times New Roman" w:cs="Times New Roman"/>
          <w:sz w:val="24"/>
          <w:szCs w:val="24"/>
        </w:rPr>
        <w:t>Однако, в случае добровольного представления заявителем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w:t>
      </w:r>
      <w:proofErr w:type="gramEnd"/>
      <w:r w:rsidRPr="00270209">
        <w:rPr>
          <w:rFonts w:ascii="Times New Roman" w:hAnsi="Times New Roman" w:cs="Times New Roman"/>
          <w:sz w:val="24"/>
          <w:szCs w:val="24"/>
        </w:rPr>
        <w:t xml:space="preserve">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предметом по которому являются сведения о товарах, указанные в заявлении об аннулировании статистической формы учета перемещения товаров.</w:t>
      </w:r>
    </w:p>
    <w:p w:rsidR="00ED13CE" w:rsidRPr="00270209" w:rsidRDefault="003B4B38" w:rsidP="001F210A">
      <w:pPr>
        <w:autoSpaceDE w:val="0"/>
        <w:autoSpaceDN w:val="0"/>
        <w:adjustRightInd w:val="0"/>
        <w:spacing w:after="120" w:line="240" w:lineRule="auto"/>
        <w:ind w:firstLine="709"/>
        <w:jc w:val="both"/>
        <w:rPr>
          <w:rFonts w:ascii="Times New Roman" w:hAnsi="Times New Roman" w:cs="Times New Roman"/>
          <w:sz w:val="24"/>
          <w:szCs w:val="24"/>
        </w:rPr>
      </w:pPr>
      <w:proofErr w:type="gramStart"/>
      <w:r w:rsidRPr="00270209">
        <w:rPr>
          <w:rFonts w:ascii="Times New Roman" w:hAnsi="Times New Roman" w:cs="Times New Roman"/>
          <w:b/>
          <w:sz w:val="24"/>
          <w:szCs w:val="24"/>
        </w:rPr>
        <w:t>Статистическая форма учета перемещения товаров не предоставляется</w:t>
      </w:r>
      <w:r w:rsidRPr="00270209">
        <w:rPr>
          <w:rFonts w:ascii="Times New Roman" w:hAnsi="Times New Roman" w:cs="Times New Roman"/>
          <w:sz w:val="24"/>
          <w:szCs w:val="24"/>
        </w:rPr>
        <w:t xml:space="preserve"> </w:t>
      </w:r>
      <w:r w:rsidR="00AC4DC0" w:rsidRPr="00270209">
        <w:rPr>
          <w:rFonts w:ascii="Times New Roman" w:hAnsi="Times New Roman" w:cs="Times New Roman"/>
          <w:sz w:val="24"/>
          <w:szCs w:val="24"/>
        </w:rPr>
        <w:t>при перемещении товаров, поименованных в п.</w:t>
      </w:r>
      <w:r w:rsidR="00ED13CE" w:rsidRPr="00270209">
        <w:rPr>
          <w:rFonts w:ascii="Times New Roman" w:hAnsi="Times New Roman" w:cs="Times New Roman"/>
          <w:sz w:val="24"/>
          <w:szCs w:val="24"/>
        </w:rPr>
        <w:t>4 постановления Правительства Российской Федерации от 01.07.2011 № 529 «О мерах по реализации Указа Президента Росси</w:t>
      </w:r>
      <w:r w:rsidR="00AC4DC0" w:rsidRPr="00270209">
        <w:rPr>
          <w:rFonts w:ascii="Times New Roman" w:hAnsi="Times New Roman" w:cs="Times New Roman"/>
          <w:sz w:val="24"/>
          <w:szCs w:val="24"/>
        </w:rPr>
        <w:t>йской Федерации от 01.07.2011 №</w:t>
      </w:r>
      <w:r w:rsidR="00ED13CE" w:rsidRPr="00270209">
        <w:rPr>
          <w:rFonts w:ascii="Times New Roman" w:hAnsi="Times New Roman" w:cs="Times New Roman"/>
          <w:sz w:val="24"/>
          <w:szCs w:val="24"/>
        </w:rPr>
        <w:t>880 «Об отмене согласованных видов контроля на государственной границе Российской Федерации с Республикой Блоруссия и Республикой Казахстан»</w:t>
      </w:r>
      <w:r w:rsidR="00AC4DC0" w:rsidRPr="00270209">
        <w:rPr>
          <w:rFonts w:ascii="Times New Roman" w:hAnsi="Times New Roman" w:cs="Times New Roman"/>
          <w:sz w:val="24"/>
          <w:szCs w:val="24"/>
        </w:rPr>
        <w:t>, данные товары подлежат таможенному декларированию так, как если бы они вывозились из</w:t>
      </w:r>
      <w:proofErr w:type="gramEnd"/>
      <w:r w:rsidR="00AC4DC0" w:rsidRPr="00270209">
        <w:rPr>
          <w:rFonts w:ascii="Times New Roman" w:hAnsi="Times New Roman" w:cs="Times New Roman"/>
          <w:sz w:val="24"/>
          <w:szCs w:val="24"/>
        </w:rPr>
        <w:t xml:space="preserve"> Российской Федерации за пределы таможенной территории Евразийского экономического союза, без взимания таможенных сборов за таможенные операции</w:t>
      </w:r>
      <w:r w:rsidR="001F210A" w:rsidRPr="00270209">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796"/>
      </w:tblGrid>
      <w:tr w:rsidR="00ED13CE" w:rsidRPr="00270209" w:rsidTr="00270209">
        <w:trPr>
          <w:trHeight w:val="127"/>
        </w:trPr>
        <w:tc>
          <w:tcPr>
            <w:tcW w:w="2410" w:type="dxa"/>
          </w:tcPr>
          <w:p w:rsidR="00ED13CE" w:rsidRPr="00270209" w:rsidRDefault="003B4B38" w:rsidP="00270209">
            <w:pPr>
              <w:autoSpaceDE w:val="0"/>
              <w:autoSpaceDN w:val="0"/>
              <w:adjustRightInd w:val="0"/>
              <w:spacing w:after="0" w:line="240" w:lineRule="auto"/>
              <w:ind w:firstLine="540"/>
              <w:jc w:val="center"/>
              <w:rPr>
                <w:rFonts w:ascii="Times New Roman" w:hAnsi="Times New Roman" w:cs="Times New Roman"/>
                <w:sz w:val="20"/>
                <w:szCs w:val="20"/>
              </w:rPr>
            </w:pPr>
            <w:r w:rsidRPr="00270209">
              <w:rPr>
                <w:rFonts w:ascii="Times New Roman" w:hAnsi="Times New Roman" w:cs="Times New Roman"/>
                <w:sz w:val="20"/>
                <w:szCs w:val="20"/>
              </w:rPr>
              <w:t>код ТН ВЭД ЕАЭС</w:t>
            </w:r>
          </w:p>
        </w:tc>
        <w:tc>
          <w:tcPr>
            <w:tcW w:w="7796" w:type="dxa"/>
          </w:tcPr>
          <w:p w:rsidR="00ED13CE" w:rsidRPr="00270209" w:rsidRDefault="00ED13CE" w:rsidP="001F210A">
            <w:pPr>
              <w:pStyle w:val="Default"/>
              <w:jc w:val="center"/>
              <w:rPr>
                <w:sz w:val="20"/>
                <w:szCs w:val="20"/>
              </w:rPr>
            </w:pPr>
            <w:r w:rsidRPr="00270209">
              <w:rPr>
                <w:sz w:val="20"/>
                <w:szCs w:val="20"/>
              </w:rPr>
              <w:t>Наименование позиции</w:t>
            </w:r>
          </w:p>
        </w:tc>
      </w:tr>
      <w:tr w:rsidR="00ED13CE" w:rsidRPr="00270209" w:rsidTr="00270209">
        <w:trPr>
          <w:trHeight w:val="247"/>
        </w:trPr>
        <w:tc>
          <w:tcPr>
            <w:tcW w:w="2410" w:type="dxa"/>
          </w:tcPr>
          <w:p w:rsidR="00ED13CE" w:rsidRPr="00270209" w:rsidRDefault="00ED13CE">
            <w:pPr>
              <w:pStyle w:val="Default"/>
              <w:rPr>
                <w:sz w:val="20"/>
                <w:szCs w:val="20"/>
              </w:rPr>
            </w:pPr>
            <w:r w:rsidRPr="00270209">
              <w:rPr>
                <w:sz w:val="20"/>
                <w:szCs w:val="20"/>
              </w:rPr>
              <w:t xml:space="preserve">2709 00 </w:t>
            </w:r>
          </w:p>
        </w:tc>
        <w:tc>
          <w:tcPr>
            <w:tcW w:w="7796" w:type="dxa"/>
          </w:tcPr>
          <w:p w:rsidR="00ED13CE" w:rsidRPr="00270209" w:rsidRDefault="00ED13CE">
            <w:pPr>
              <w:pStyle w:val="Default"/>
              <w:rPr>
                <w:sz w:val="20"/>
                <w:szCs w:val="20"/>
              </w:rPr>
            </w:pPr>
            <w:r w:rsidRPr="00270209">
              <w:rPr>
                <w:sz w:val="20"/>
                <w:szCs w:val="20"/>
              </w:rPr>
              <w:t xml:space="preserve">Нефть сырая и нефтепродукты сырые, полученные из битуминозных пород </w:t>
            </w:r>
          </w:p>
        </w:tc>
      </w:tr>
      <w:tr w:rsidR="00ED13CE" w:rsidRPr="00270209" w:rsidTr="00270209">
        <w:trPr>
          <w:trHeight w:val="247"/>
        </w:trPr>
        <w:tc>
          <w:tcPr>
            <w:tcW w:w="2410" w:type="dxa"/>
          </w:tcPr>
          <w:p w:rsidR="00ED13CE" w:rsidRPr="00270209" w:rsidRDefault="00ED13CE">
            <w:pPr>
              <w:pStyle w:val="Default"/>
              <w:rPr>
                <w:sz w:val="20"/>
                <w:szCs w:val="20"/>
              </w:rPr>
            </w:pPr>
            <w:r w:rsidRPr="00270209">
              <w:rPr>
                <w:sz w:val="20"/>
                <w:szCs w:val="20"/>
              </w:rPr>
              <w:t xml:space="preserve">2710 </w:t>
            </w:r>
          </w:p>
        </w:tc>
        <w:tc>
          <w:tcPr>
            <w:tcW w:w="7796" w:type="dxa"/>
          </w:tcPr>
          <w:p w:rsidR="00ED13CE" w:rsidRPr="00270209" w:rsidRDefault="00ED13CE">
            <w:pPr>
              <w:pStyle w:val="Default"/>
              <w:rPr>
                <w:sz w:val="20"/>
                <w:szCs w:val="20"/>
              </w:rPr>
            </w:pPr>
            <w:r w:rsidRPr="00270209">
              <w:rPr>
                <w:sz w:val="20"/>
                <w:szCs w:val="20"/>
              </w:rPr>
              <w:t xml:space="preserve">Нефть и нефтепродукты, полученные из битуминозных пород, </w:t>
            </w:r>
            <w:proofErr w:type="gramStart"/>
            <w:r w:rsidRPr="00270209">
              <w:rPr>
                <w:sz w:val="20"/>
                <w:szCs w:val="20"/>
              </w:rPr>
              <w:t>кроме</w:t>
            </w:r>
            <w:proofErr w:type="gramEnd"/>
            <w:r w:rsidRPr="00270209">
              <w:rPr>
                <w:sz w:val="20"/>
                <w:szCs w:val="20"/>
              </w:rPr>
              <w:t xml:space="preserve"> сырых </w:t>
            </w:r>
          </w:p>
        </w:tc>
      </w:tr>
      <w:tr w:rsidR="00ED13CE" w:rsidRPr="00270209" w:rsidTr="00270209">
        <w:trPr>
          <w:trHeight w:val="109"/>
        </w:trPr>
        <w:tc>
          <w:tcPr>
            <w:tcW w:w="2410" w:type="dxa"/>
          </w:tcPr>
          <w:p w:rsidR="00ED13CE" w:rsidRPr="00270209" w:rsidRDefault="00ED13CE">
            <w:pPr>
              <w:pStyle w:val="Default"/>
              <w:rPr>
                <w:sz w:val="20"/>
                <w:szCs w:val="20"/>
              </w:rPr>
            </w:pPr>
            <w:r w:rsidRPr="00270209">
              <w:rPr>
                <w:sz w:val="20"/>
                <w:szCs w:val="20"/>
              </w:rPr>
              <w:t xml:space="preserve">2711 </w:t>
            </w:r>
          </w:p>
        </w:tc>
        <w:tc>
          <w:tcPr>
            <w:tcW w:w="7796" w:type="dxa"/>
          </w:tcPr>
          <w:p w:rsidR="00ED13CE" w:rsidRPr="00270209" w:rsidRDefault="00ED13CE">
            <w:pPr>
              <w:pStyle w:val="Default"/>
              <w:rPr>
                <w:sz w:val="20"/>
                <w:szCs w:val="20"/>
              </w:rPr>
            </w:pPr>
            <w:r w:rsidRPr="00270209">
              <w:rPr>
                <w:sz w:val="20"/>
                <w:szCs w:val="20"/>
              </w:rPr>
              <w:t xml:space="preserve">Газы нефтяные и углеводороды газообразные прочие </w:t>
            </w:r>
          </w:p>
        </w:tc>
      </w:tr>
      <w:tr w:rsidR="00ED13CE" w:rsidRPr="00270209" w:rsidTr="00270209">
        <w:trPr>
          <w:trHeight w:val="523"/>
        </w:trPr>
        <w:tc>
          <w:tcPr>
            <w:tcW w:w="2410" w:type="dxa"/>
          </w:tcPr>
          <w:p w:rsidR="00ED13CE" w:rsidRPr="00270209" w:rsidRDefault="00ED13CE">
            <w:pPr>
              <w:pStyle w:val="Default"/>
              <w:rPr>
                <w:sz w:val="20"/>
                <w:szCs w:val="20"/>
              </w:rPr>
            </w:pPr>
            <w:proofErr w:type="gramStart"/>
            <w:r w:rsidRPr="00270209">
              <w:rPr>
                <w:sz w:val="20"/>
                <w:szCs w:val="20"/>
              </w:rPr>
              <w:t xml:space="preserve">2712 (за исключением </w:t>
            </w:r>
            <w:proofErr w:type="gramEnd"/>
          </w:p>
          <w:p w:rsidR="00ED13CE" w:rsidRPr="00270209" w:rsidRDefault="00ED13CE">
            <w:pPr>
              <w:pStyle w:val="Default"/>
              <w:rPr>
                <w:sz w:val="20"/>
                <w:szCs w:val="20"/>
              </w:rPr>
            </w:pPr>
            <w:r w:rsidRPr="00270209">
              <w:rPr>
                <w:sz w:val="20"/>
                <w:szCs w:val="20"/>
              </w:rPr>
              <w:t xml:space="preserve">2712 90 110 0, </w:t>
            </w:r>
          </w:p>
          <w:p w:rsidR="00ED13CE" w:rsidRPr="00270209" w:rsidRDefault="00ED13CE">
            <w:pPr>
              <w:pStyle w:val="Default"/>
              <w:rPr>
                <w:sz w:val="20"/>
                <w:szCs w:val="20"/>
              </w:rPr>
            </w:pPr>
            <w:r w:rsidRPr="00270209">
              <w:rPr>
                <w:sz w:val="20"/>
                <w:szCs w:val="20"/>
              </w:rPr>
              <w:t xml:space="preserve">2712 90 190 0) </w:t>
            </w:r>
          </w:p>
        </w:tc>
        <w:tc>
          <w:tcPr>
            <w:tcW w:w="7796" w:type="dxa"/>
          </w:tcPr>
          <w:p w:rsidR="00ED13CE" w:rsidRPr="00270209" w:rsidRDefault="00ED13CE">
            <w:pPr>
              <w:pStyle w:val="Default"/>
              <w:rPr>
                <w:sz w:val="20"/>
                <w:szCs w:val="20"/>
              </w:rPr>
            </w:pPr>
            <w:proofErr w:type="gramStart"/>
            <w:r w:rsidRPr="00270209">
              <w:rPr>
                <w:sz w:val="20"/>
                <w:szCs w:val="20"/>
              </w:rPr>
              <w:t xml:space="preserve">Вазелин нефтяной; парафин, воск нефтяной </w:t>
            </w:r>
            <w:proofErr w:type="spellStart"/>
            <w:r w:rsidRPr="00270209">
              <w:rPr>
                <w:sz w:val="20"/>
                <w:szCs w:val="20"/>
              </w:rPr>
              <w:t>микрокристалический</w:t>
            </w:r>
            <w:proofErr w:type="spellEnd"/>
            <w:r w:rsidRPr="00270209">
              <w:rPr>
                <w:sz w:val="20"/>
                <w:szCs w:val="20"/>
              </w:rPr>
              <w:t xml:space="preserve">, …аналогичные продукты (за </w:t>
            </w:r>
            <w:proofErr w:type="spellStart"/>
            <w:r w:rsidRPr="00270209">
              <w:rPr>
                <w:sz w:val="20"/>
                <w:szCs w:val="20"/>
              </w:rPr>
              <w:t>искл</w:t>
            </w:r>
            <w:proofErr w:type="spellEnd"/>
            <w:r w:rsidRPr="00270209">
              <w:rPr>
                <w:sz w:val="20"/>
                <w:szCs w:val="20"/>
              </w:rPr>
              <w:t xml:space="preserve">. озокерита, воска буроугольного или воска торфяного (природные продукты) </w:t>
            </w:r>
            <w:proofErr w:type="gramEnd"/>
          </w:p>
        </w:tc>
      </w:tr>
      <w:tr w:rsidR="00ED13CE" w:rsidRPr="00270209" w:rsidTr="00270209">
        <w:trPr>
          <w:trHeight w:val="109"/>
        </w:trPr>
        <w:tc>
          <w:tcPr>
            <w:tcW w:w="2410" w:type="dxa"/>
          </w:tcPr>
          <w:p w:rsidR="00ED13CE" w:rsidRPr="00270209" w:rsidRDefault="00ED13CE">
            <w:pPr>
              <w:pStyle w:val="Default"/>
              <w:rPr>
                <w:sz w:val="20"/>
                <w:szCs w:val="20"/>
              </w:rPr>
            </w:pPr>
            <w:r w:rsidRPr="00270209">
              <w:rPr>
                <w:sz w:val="20"/>
                <w:szCs w:val="20"/>
              </w:rPr>
              <w:t xml:space="preserve">2713 11 000 0 </w:t>
            </w:r>
          </w:p>
        </w:tc>
        <w:tc>
          <w:tcPr>
            <w:tcW w:w="7796" w:type="dxa"/>
          </w:tcPr>
          <w:p w:rsidR="00ED13CE" w:rsidRPr="00270209" w:rsidRDefault="00ED13CE">
            <w:pPr>
              <w:pStyle w:val="Default"/>
              <w:rPr>
                <w:sz w:val="20"/>
                <w:szCs w:val="20"/>
              </w:rPr>
            </w:pPr>
            <w:r w:rsidRPr="00270209">
              <w:rPr>
                <w:sz w:val="20"/>
                <w:szCs w:val="20"/>
              </w:rPr>
              <w:t xml:space="preserve">Кокс нефтяной </w:t>
            </w:r>
            <w:proofErr w:type="spellStart"/>
            <w:r w:rsidRPr="00270209">
              <w:rPr>
                <w:sz w:val="20"/>
                <w:szCs w:val="20"/>
              </w:rPr>
              <w:t>некальцинированный</w:t>
            </w:r>
            <w:proofErr w:type="spellEnd"/>
            <w:r w:rsidRPr="00270209">
              <w:rPr>
                <w:sz w:val="20"/>
                <w:szCs w:val="20"/>
              </w:rPr>
              <w:t xml:space="preserve"> </w:t>
            </w:r>
          </w:p>
        </w:tc>
      </w:tr>
      <w:tr w:rsidR="00ED13CE" w:rsidRPr="00270209" w:rsidTr="00270209">
        <w:trPr>
          <w:trHeight w:val="109"/>
        </w:trPr>
        <w:tc>
          <w:tcPr>
            <w:tcW w:w="2410" w:type="dxa"/>
          </w:tcPr>
          <w:p w:rsidR="00ED13CE" w:rsidRPr="00270209" w:rsidRDefault="00ED13CE">
            <w:pPr>
              <w:pStyle w:val="Default"/>
              <w:rPr>
                <w:sz w:val="20"/>
                <w:szCs w:val="20"/>
              </w:rPr>
            </w:pPr>
            <w:r w:rsidRPr="00270209">
              <w:rPr>
                <w:sz w:val="20"/>
                <w:szCs w:val="20"/>
              </w:rPr>
              <w:t xml:space="preserve">2713 12 000 </w:t>
            </w:r>
          </w:p>
        </w:tc>
        <w:tc>
          <w:tcPr>
            <w:tcW w:w="7796" w:type="dxa"/>
          </w:tcPr>
          <w:p w:rsidR="00ED13CE" w:rsidRPr="00270209" w:rsidRDefault="00ED13CE">
            <w:pPr>
              <w:pStyle w:val="Default"/>
              <w:rPr>
                <w:sz w:val="20"/>
                <w:szCs w:val="20"/>
              </w:rPr>
            </w:pPr>
            <w:r w:rsidRPr="00270209">
              <w:rPr>
                <w:sz w:val="20"/>
                <w:szCs w:val="20"/>
              </w:rPr>
              <w:t xml:space="preserve">Кокс нефтяной кальцинированный </w:t>
            </w:r>
          </w:p>
        </w:tc>
      </w:tr>
      <w:tr w:rsidR="00ED13CE" w:rsidRPr="00270209" w:rsidTr="00270209">
        <w:trPr>
          <w:trHeight w:val="247"/>
        </w:trPr>
        <w:tc>
          <w:tcPr>
            <w:tcW w:w="2410" w:type="dxa"/>
          </w:tcPr>
          <w:p w:rsidR="00ED13CE" w:rsidRPr="00270209" w:rsidRDefault="00ED13CE">
            <w:pPr>
              <w:pStyle w:val="Default"/>
              <w:rPr>
                <w:sz w:val="20"/>
                <w:szCs w:val="20"/>
              </w:rPr>
            </w:pPr>
            <w:r w:rsidRPr="00270209">
              <w:rPr>
                <w:sz w:val="20"/>
                <w:szCs w:val="20"/>
              </w:rPr>
              <w:t xml:space="preserve">2713 20 000 0 – </w:t>
            </w:r>
          </w:p>
          <w:p w:rsidR="00ED13CE" w:rsidRPr="00270209" w:rsidRDefault="00ED13CE">
            <w:pPr>
              <w:pStyle w:val="Default"/>
              <w:rPr>
                <w:sz w:val="20"/>
                <w:szCs w:val="20"/>
              </w:rPr>
            </w:pPr>
            <w:r w:rsidRPr="00270209">
              <w:rPr>
                <w:sz w:val="20"/>
                <w:szCs w:val="20"/>
              </w:rPr>
              <w:t xml:space="preserve">2713 90 900 0 </w:t>
            </w:r>
          </w:p>
        </w:tc>
        <w:tc>
          <w:tcPr>
            <w:tcW w:w="7796" w:type="dxa"/>
          </w:tcPr>
          <w:p w:rsidR="00ED13CE" w:rsidRPr="00270209" w:rsidRDefault="00ED13CE">
            <w:pPr>
              <w:pStyle w:val="Default"/>
              <w:rPr>
                <w:sz w:val="20"/>
                <w:szCs w:val="20"/>
              </w:rPr>
            </w:pPr>
            <w:r w:rsidRPr="00270209">
              <w:rPr>
                <w:sz w:val="20"/>
                <w:szCs w:val="20"/>
              </w:rPr>
              <w:t xml:space="preserve">Битум нефтяной и прочие остатки от переработки нефти или нефтепродуктов, полученные из битуминозных пород </w:t>
            </w:r>
          </w:p>
        </w:tc>
      </w:tr>
    </w:tbl>
    <w:p w:rsidR="001F210A" w:rsidRPr="00270209" w:rsidRDefault="003B4B38" w:rsidP="001F210A">
      <w:pPr>
        <w:spacing w:after="120" w:line="240" w:lineRule="auto"/>
        <w:ind w:firstLine="709"/>
        <w:jc w:val="both"/>
        <w:rPr>
          <w:rFonts w:ascii="Times New Roman" w:hAnsi="Times New Roman" w:cs="Times New Roman"/>
          <w:sz w:val="24"/>
          <w:szCs w:val="24"/>
        </w:rPr>
      </w:pPr>
      <w:bookmarkStart w:id="0" w:name="_GoBack"/>
      <w:bookmarkEnd w:id="0"/>
      <w:r w:rsidRPr="00270209">
        <w:rPr>
          <w:rFonts w:ascii="Times New Roman" w:hAnsi="Times New Roman" w:cs="Times New Roman"/>
          <w:b/>
          <w:sz w:val="24"/>
          <w:szCs w:val="24"/>
        </w:rPr>
        <w:t>Дополнительно</w:t>
      </w:r>
      <w:r w:rsidR="001F6799" w:rsidRPr="00270209">
        <w:rPr>
          <w:rFonts w:ascii="Times New Roman" w:hAnsi="Times New Roman" w:cs="Times New Roman"/>
          <w:b/>
          <w:sz w:val="24"/>
          <w:szCs w:val="24"/>
        </w:rPr>
        <w:t xml:space="preserve"> необходимо обратить внимание</w:t>
      </w:r>
      <w:r w:rsidR="001F210A" w:rsidRPr="00270209">
        <w:rPr>
          <w:rFonts w:ascii="Times New Roman" w:hAnsi="Times New Roman" w:cs="Times New Roman"/>
          <w:sz w:val="24"/>
          <w:szCs w:val="24"/>
        </w:rPr>
        <w:t xml:space="preserve">, </w:t>
      </w:r>
      <w:r w:rsidRPr="00270209">
        <w:rPr>
          <w:rFonts w:ascii="Times New Roman" w:hAnsi="Times New Roman" w:cs="Times New Roman"/>
          <w:sz w:val="24"/>
          <w:szCs w:val="24"/>
        </w:rPr>
        <w:t xml:space="preserve">что в соответствии с  </w:t>
      </w:r>
      <w:r w:rsidR="001F210A" w:rsidRPr="00270209">
        <w:rPr>
          <w:rFonts w:ascii="Times New Roman" w:hAnsi="Times New Roman" w:cs="Times New Roman"/>
          <w:sz w:val="24"/>
          <w:szCs w:val="24"/>
        </w:rPr>
        <w:t xml:space="preserve">Соглашением между Правительством Российской Федерации и Правительством Республики Казахстан от 09.12.2010 </w:t>
      </w:r>
      <w:r w:rsidRPr="00270209">
        <w:rPr>
          <w:rFonts w:ascii="Times New Roman" w:hAnsi="Times New Roman" w:cs="Times New Roman"/>
          <w:sz w:val="24"/>
          <w:szCs w:val="24"/>
        </w:rPr>
        <w:t>«О</w:t>
      </w:r>
      <w:r w:rsidR="001F210A" w:rsidRPr="00270209">
        <w:rPr>
          <w:rFonts w:ascii="Times New Roman" w:hAnsi="Times New Roman" w:cs="Times New Roman"/>
          <w:sz w:val="24"/>
          <w:szCs w:val="24"/>
        </w:rPr>
        <w:t xml:space="preserve"> торгово-экономическом сотрудничестве в области поставок нефти и нефтепродуктов</w:t>
      </w:r>
      <w:r w:rsidRPr="00270209">
        <w:rPr>
          <w:rFonts w:ascii="Times New Roman" w:hAnsi="Times New Roman" w:cs="Times New Roman"/>
          <w:sz w:val="24"/>
          <w:szCs w:val="24"/>
        </w:rPr>
        <w:t>…»</w:t>
      </w:r>
      <w:r w:rsidR="001F210A" w:rsidRPr="00270209">
        <w:rPr>
          <w:rFonts w:ascii="Times New Roman" w:hAnsi="Times New Roman" w:cs="Times New Roman"/>
          <w:sz w:val="24"/>
          <w:szCs w:val="24"/>
        </w:rPr>
        <w:t xml:space="preserve"> запрещены к вывозу </w:t>
      </w:r>
      <w:r w:rsidRPr="00270209">
        <w:rPr>
          <w:rFonts w:ascii="Times New Roman" w:hAnsi="Times New Roman" w:cs="Times New Roman"/>
          <w:sz w:val="24"/>
          <w:szCs w:val="24"/>
        </w:rPr>
        <w:t xml:space="preserve">в Республику Казахстан </w:t>
      </w:r>
      <w:r w:rsidR="001F210A" w:rsidRPr="00270209">
        <w:rPr>
          <w:rFonts w:ascii="Times New Roman" w:hAnsi="Times New Roman" w:cs="Times New Roman"/>
          <w:sz w:val="24"/>
          <w:szCs w:val="24"/>
        </w:rPr>
        <w:t xml:space="preserve">из Российской Федерации </w:t>
      </w:r>
      <w:r w:rsidRPr="00270209">
        <w:rPr>
          <w:rFonts w:ascii="Times New Roman" w:hAnsi="Times New Roman" w:cs="Times New Roman"/>
          <w:sz w:val="24"/>
          <w:szCs w:val="24"/>
        </w:rPr>
        <w:t>следующие</w:t>
      </w:r>
      <w:r w:rsidR="001F210A" w:rsidRPr="00270209">
        <w:rPr>
          <w:rFonts w:ascii="Times New Roman" w:hAnsi="Times New Roman" w:cs="Times New Roman"/>
          <w:sz w:val="24"/>
          <w:szCs w:val="24"/>
        </w:rPr>
        <w:t xml:space="preserve"> товары: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2"/>
        <w:gridCol w:w="5705"/>
      </w:tblGrid>
      <w:tr w:rsidR="001F210A" w:rsidRPr="00270209" w:rsidTr="00270209">
        <w:trPr>
          <w:trHeight w:val="121"/>
        </w:trPr>
        <w:tc>
          <w:tcPr>
            <w:tcW w:w="4672" w:type="dxa"/>
          </w:tcPr>
          <w:p w:rsidR="001F210A" w:rsidRPr="00270209" w:rsidRDefault="003B4B38" w:rsidP="003B4B38">
            <w:pPr>
              <w:pStyle w:val="Default"/>
              <w:jc w:val="center"/>
              <w:rPr>
                <w:sz w:val="20"/>
                <w:szCs w:val="20"/>
              </w:rPr>
            </w:pPr>
            <w:r w:rsidRPr="00270209">
              <w:rPr>
                <w:sz w:val="20"/>
                <w:szCs w:val="20"/>
              </w:rPr>
              <w:t>код ТН ВЭД ЕАЭС</w:t>
            </w:r>
          </w:p>
        </w:tc>
        <w:tc>
          <w:tcPr>
            <w:tcW w:w="5705" w:type="dxa"/>
          </w:tcPr>
          <w:p w:rsidR="001F210A" w:rsidRPr="00270209" w:rsidRDefault="001F210A" w:rsidP="003B4B38">
            <w:pPr>
              <w:pStyle w:val="Default"/>
              <w:jc w:val="center"/>
              <w:rPr>
                <w:sz w:val="20"/>
                <w:szCs w:val="20"/>
              </w:rPr>
            </w:pPr>
            <w:r w:rsidRPr="00270209">
              <w:rPr>
                <w:sz w:val="20"/>
                <w:szCs w:val="20"/>
              </w:rPr>
              <w:t>Наименование позиции</w:t>
            </w:r>
          </w:p>
        </w:tc>
      </w:tr>
      <w:tr w:rsidR="001F210A" w:rsidRPr="00270209" w:rsidTr="00270209">
        <w:trPr>
          <w:trHeight w:val="235"/>
        </w:trPr>
        <w:tc>
          <w:tcPr>
            <w:tcW w:w="4672" w:type="dxa"/>
          </w:tcPr>
          <w:p w:rsidR="001F210A" w:rsidRPr="00270209" w:rsidRDefault="001F210A">
            <w:pPr>
              <w:pStyle w:val="Default"/>
              <w:rPr>
                <w:sz w:val="20"/>
                <w:szCs w:val="20"/>
              </w:rPr>
            </w:pPr>
            <w:r w:rsidRPr="00270209">
              <w:rPr>
                <w:sz w:val="20"/>
                <w:szCs w:val="20"/>
              </w:rPr>
              <w:t xml:space="preserve">2710 19 480 - 2710 19 680, 2710 20 310 - 2710 20 390 </w:t>
            </w:r>
          </w:p>
        </w:tc>
        <w:tc>
          <w:tcPr>
            <w:tcW w:w="5705" w:type="dxa"/>
          </w:tcPr>
          <w:p w:rsidR="001F210A" w:rsidRPr="00270209" w:rsidRDefault="001F210A" w:rsidP="00270209">
            <w:pPr>
              <w:pStyle w:val="Default"/>
              <w:rPr>
                <w:sz w:val="20"/>
                <w:szCs w:val="20"/>
              </w:rPr>
            </w:pPr>
            <w:r w:rsidRPr="00270209">
              <w:rPr>
                <w:sz w:val="20"/>
                <w:szCs w:val="20"/>
              </w:rPr>
              <w:t>тяжелые дистилляты</w:t>
            </w:r>
          </w:p>
        </w:tc>
      </w:tr>
      <w:tr w:rsidR="001F210A" w:rsidRPr="00270209" w:rsidTr="00270209">
        <w:trPr>
          <w:trHeight w:val="103"/>
        </w:trPr>
        <w:tc>
          <w:tcPr>
            <w:tcW w:w="4672" w:type="dxa"/>
          </w:tcPr>
          <w:p w:rsidR="001F210A" w:rsidRPr="00270209" w:rsidRDefault="001F210A">
            <w:pPr>
              <w:pStyle w:val="Default"/>
              <w:rPr>
                <w:sz w:val="20"/>
                <w:szCs w:val="20"/>
              </w:rPr>
            </w:pPr>
            <w:r w:rsidRPr="00270209">
              <w:rPr>
                <w:sz w:val="20"/>
                <w:szCs w:val="20"/>
              </w:rPr>
              <w:t>2710 19 510 1, 2710 19 550 1, 2710 19 620 1, 2710 19 640 1, 2710 19 660 1, 2710 19 680 1, 2710 20 310 1, 2710 20 350 1, 2710 20 370 1, 2710 20 390 1</w:t>
            </w:r>
          </w:p>
        </w:tc>
        <w:tc>
          <w:tcPr>
            <w:tcW w:w="5705" w:type="dxa"/>
          </w:tcPr>
          <w:p w:rsidR="001F210A" w:rsidRPr="00270209" w:rsidRDefault="001F210A" w:rsidP="00270209">
            <w:pPr>
              <w:pStyle w:val="Default"/>
              <w:rPr>
                <w:sz w:val="20"/>
                <w:szCs w:val="20"/>
              </w:rPr>
            </w:pPr>
            <w:r w:rsidRPr="00270209">
              <w:rPr>
                <w:sz w:val="20"/>
                <w:szCs w:val="20"/>
              </w:rPr>
              <w:t>мазуты</w:t>
            </w:r>
          </w:p>
        </w:tc>
      </w:tr>
      <w:tr w:rsidR="001F210A" w:rsidRPr="00270209" w:rsidTr="00270209">
        <w:trPr>
          <w:trHeight w:val="103"/>
        </w:trPr>
        <w:tc>
          <w:tcPr>
            <w:tcW w:w="4672" w:type="dxa"/>
          </w:tcPr>
          <w:p w:rsidR="001F210A" w:rsidRPr="00270209" w:rsidRDefault="001F210A" w:rsidP="00DF0D68">
            <w:pPr>
              <w:autoSpaceDE w:val="0"/>
              <w:autoSpaceDN w:val="0"/>
              <w:adjustRightInd w:val="0"/>
              <w:spacing w:after="0" w:line="240" w:lineRule="auto"/>
              <w:rPr>
                <w:rFonts w:ascii="Times New Roman" w:hAnsi="Times New Roman" w:cs="Times New Roman"/>
                <w:color w:val="000000"/>
                <w:sz w:val="20"/>
                <w:szCs w:val="20"/>
              </w:rPr>
            </w:pPr>
            <w:r w:rsidRPr="00270209">
              <w:rPr>
                <w:rFonts w:ascii="Times New Roman" w:hAnsi="Times New Roman" w:cs="Times New Roman"/>
                <w:color w:val="000000"/>
                <w:sz w:val="20"/>
                <w:szCs w:val="20"/>
              </w:rPr>
              <w:t xml:space="preserve">2710 91 000 0, 2710 99 000 0 </w:t>
            </w:r>
          </w:p>
        </w:tc>
        <w:tc>
          <w:tcPr>
            <w:tcW w:w="5705" w:type="dxa"/>
          </w:tcPr>
          <w:p w:rsidR="001F210A" w:rsidRPr="00270209" w:rsidRDefault="001F210A" w:rsidP="00270209">
            <w:pPr>
              <w:pStyle w:val="Default"/>
              <w:rPr>
                <w:sz w:val="20"/>
                <w:szCs w:val="20"/>
              </w:rPr>
            </w:pPr>
            <w:r w:rsidRPr="00270209">
              <w:rPr>
                <w:sz w:val="20"/>
                <w:szCs w:val="20"/>
              </w:rPr>
              <w:t>отработанные нефтепродукты</w:t>
            </w:r>
          </w:p>
        </w:tc>
      </w:tr>
      <w:tr w:rsidR="001F210A" w:rsidRPr="00270209" w:rsidTr="00270209">
        <w:trPr>
          <w:trHeight w:val="103"/>
        </w:trPr>
        <w:tc>
          <w:tcPr>
            <w:tcW w:w="4672" w:type="dxa"/>
          </w:tcPr>
          <w:p w:rsidR="001F210A" w:rsidRPr="00270209" w:rsidRDefault="001F210A" w:rsidP="00DF0D68">
            <w:pPr>
              <w:autoSpaceDE w:val="0"/>
              <w:autoSpaceDN w:val="0"/>
              <w:adjustRightInd w:val="0"/>
              <w:spacing w:after="0" w:line="240" w:lineRule="auto"/>
              <w:rPr>
                <w:rFonts w:ascii="Times New Roman" w:hAnsi="Times New Roman" w:cs="Times New Roman"/>
                <w:color w:val="000000"/>
                <w:sz w:val="20"/>
                <w:szCs w:val="20"/>
              </w:rPr>
            </w:pPr>
            <w:r w:rsidRPr="00270209">
              <w:rPr>
                <w:rFonts w:ascii="Times New Roman" w:hAnsi="Times New Roman" w:cs="Times New Roman"/>
                <w:color w:val="000000"/>
                <w:sz w:val="20"/>
                <w:szCs w:val="20"/>
              </w:rPr>
              <w:t xml:space="preserve">2712 </w:t>
            </w:r>
          </w:p>
        </w:tc>
        <w:tc>
          <w:tcPr>
            <w:tcW w:w="5705" w:type="dxa"/>
          </w:tcPr>
          <w:p w:rsidR="001F210A" w:rsidRPr="00270209" w:rsidRDefault="001F210A" w:rsidP="00270209">
            <w:pPr>
              <w:pStyle w:val="Default"/>
              <w:rPr>
                <w:sz w:val="20"/>
                <w:szCs w:val="20"/>
              </w:rPr>
            </w:pPr>
            <w:r w:rsidRPr="00270209">
              <w:rPr>
                <w:sz w:val="20"/>
                <w:szCs w:val="20"/>
              </w:rPr>
              <w:t>вазелин и парафины</w:t>
            </w:r>
          </w:p>
        </w:tc>
      </w:tr>
      <w:tr w:rsidR="001F210A" w:rsidRPr="00270209" w:rsidTr="00270209">
        <w:trPr>
          <w:trHeight w:val="103"/>
        </w:trPr>
        <w:tc>
          <w:tcPr>
            <w:tcW w:w="4672" w:type="dxa"/>
          </w:tcPr>
          <w:p w:rsidR="001F210A" w:rsidRPr="00270209" w:rsidRDefault="001F210A" w:rsidP="00DF0D68">
            <w:pPr>
              <w:autoSpaceDE w:val="0"/>
              <w:autoSpaceDN w:val="0"/>
              <w:adjustRightInd w:val="0"/>
              <w:spacing w:after="0" w:line="240" w:lineRule="auto"/>
              <w:rPr>
                <w:rFonts w:ascii="Times New Roman" w:hAnsi="Times New Roman" w:cs="Times New Roman"/>
                <w:color w:val="000000"/>
                <w:sz w:val="20"/>
                <w:szCs w:val="20"/>
              </w:rPr>
            </w:pPr>
            <w:r w:rsidRPr="00270209">
              <w:rPr>
                <w:rFonts w:ascii="Times New Roman" w:hAnsi="Times New Roman" w:cs="Times New Roman"/>
                <w:color w:val="000000"/>
                <w:sz w:val="20"/>
                <w:szCs w:val="20"/>
              </w:rPr>
              <w:t>710 19 710 0, 2710 19 750 0, 2710 19 920 0, 2710 19 980 0</w:t>
            </w:r>
          </w:p>
        </w:tc>
        <w:tc>
          <w:tcPr>
            <w:tcW w:w="5705" w:type="dxa"/>
          </w:tcPr>
          <w:p w:rsidR="001F210A" w:rsidRPr="00270209" w:rsidRDefault="001F210A" w:rsidP="00270209">
            <w:pPr>
              <w:pStyle w:val="Default"/>
              <w:rPr>
                <w:sz w:val="20"/>
                <w:szCs w:val="20"/>
              </w:rPr>
            </w:pPr>
            <w:r w:rsidRPr="00270209">
              <w:rPr>
                <w:sz w:val="20"/>
                <w:szCs w:val="20"/>
              </w:rPr>
              <w:t>масла смазочные, масла прочие</w:t>
            </w:r>
          </w:p>
        </w:tc>
      </w:tr>
      <w:tr w:rsidR="001F210A" w:rsidRPr="00270209" w:rsidTr="00270209">
        <w:trPr>
          <w:trHeight w:val="103"/>
        </w:trPr>
        <w:tc>
          <w:tcPr>
            <w:tcW w:w="4672" w:type="dxa"/>
          </w:tcPr>
          <w:p w:rsidR="001F210A" w:rsidRPr="00270209" w:rsidRDefault="001F210A" w:rsidP="00DF0D68">
            <w:pPr>
              <w:autoSpaceDE w:val="0"/>
              <w:autoSpaceDN w:val="0"/>
              <w:adjustRightInd w:val="0"/>
              <w:spacing w:after="0" w:line="240" w:lineRule="auto"/>
              <w:rPr>
                <w:rFonts w:ascii="Times New Roman" w:hAnsi="Times New Roman" w:cs="Times New Roman"/>
                <w:color w:val="000000"/>
                <w:sz w:val="20"/>
                <w:szCs w:val="20"/>
              </w:rPr>
            </w:pPr>
            <w:r w:rsidRPr="00270209">
              <w:rPr>
                <w:rFonts w:ascii="Times New Roman" w:hAnsi="Times New Roman" w:cs="Times New Roman"/>
                <w:color w:val="000000"/>
                <w:sz w:val="20"/>
                <w:szCs w:val="20"/>
              </w:rPr>
              <w:t>2902 20 000 0</w:t>
            </w:r>
          </w:p>
        </w:tc>
        <w:tc>
          <w:tcPr>
            <w:tcW w:w="5705" w:type="dxa"/>
          </w:tcPr>
          <w:p w:rsidR="001F210A" w:rsidRPr="00270209" w:rsidRDefault="001F210A" w:rsidP="00270209">
            <w:pPr>
              <w:pStyle w:val="Default"/>
              <w:rPr>
                <w:sz w:val="20"/>
                <w:szCs w:val="20"/>
              </w:rPr>
            </w:pPr>
            <w:r w:rsidRPr="00270209">
              <w:rPr>
                <w:sz w:val="20"/>
                <w:szCs w:val="20"/>
              </w:rPr>
              <w:t>бензол</w:t>
            </w:r>
          </w:p>
        </w:tc>
      </w:tr>
      <w:tr w:rsidR="001F210A" w:rsidRPr="00270209" w:rsidTr="00270209">
        <w:trPr>
          <w:trHeight w:val="103"/>
        </w:trPr>
        <w:tc>
          <w:tcPr>
            <w:tcW w:w="4672" w:type="dxa"/>
          </w:tcPr>
          <w:p w:rsidR="001F210A" w:rsidRPr="00270209" w:rsidRDefault="001F210A" w:rsidP="00DF0D68">
            <w:pPr>
              <w:autoSpaceDE w:val="0"/>
              <w:autoSpaceDN w:val="0"/>
              <w:adjustRightInd w:val="0"/>
              <w:spacing w:after="0" w:line="240" w:lineRule="auto"/>
              <w:rPr>
                <w:rFonts w:ascii="Times New Roman" w:hAnsi="Times New Roman" w:cs="Times New Roman"/>
                <w:color w:val="000000"/>
                <w:sz w:val="20"/>
                <w:szCs w:val="20"/>
              </w:rPr>
            </w:pPr>
            <w:r w:rsidRPr="00270209">
              <w:rPr>
                <w:rFonts w:ascii="Times New Roman" w:hAnsi="Times New Roman" w:cs="Times New Roman"/>
                <w:color w:val="000000"/>
                <w:sz w:val="20"/>
                <w:szCs w:val="20"/>
              </w:rPr>
              <w:t>2902 30 000 0</w:t>
            </w:r>
          </w:p>
        </w:tc>
        <w:tc>
          <w:tcPr>
            <w:tcW w:w="5705" w:type="dxa"/>
          </w:tcPr>
          <w:p w:rsidR="001F210A" w:rsidRPr="00270209" w:rsidRDefault="001F210A" w:rsidP="00270209">
            <w:pPr>
              <w:pStyle w:val="Default"/>
              <w:rPr>
                <w:sz w:val="20"/>
                <w:szCs w:val="20"/>
              </w:rPr>
            </w:pPr>
            <w:r w:rsidRPr="00270209">
              <w:rPr>
                <w:sz w:val="20"/>
                <w:szCs w:val="20"/>
              </w:rPr>
              <w:t>толуол</w:t>
            </w:r>
          </w:p>
        </w:tc>
      </w:tr>
      <w:tr w:rsidR="001F210A" w:rsidRPr="00270209" w:rsidTr="00270209">
        <w:trPr>
          <w:trHeight w:val="103"/>
        </w:trPr>
        <w:tc>
          <w:tcPr>
            <w:tcW w:w="4672" w:type="dxa"/>
          </w:tcPr>
          <w:p w:rsidR="001F210A" w:rsidRPr="00270209" w:rsidRDefault="001F210A" w:rsidP="00DF0D68">
            <w:pPr>
              <w:autoSpaceDE w:val="0"/>
              <w:autoSpaceDN w:val="0"/>
              <w:adjustRightInd w:val="0"/>
              <w:spacing w:after="0" w:line="240" w:lineRule="auto"/>
              <w:rPr>
                <w:rFonts w:ascii="Times New Roman" w:hAnsi="Times New Roman" w:cs="Times New Roman"/>
                <w:color w:val="000000"/>
                <w:sz w:val="20"/>
                <w:szCs w:val="20"/>
              </w:rPr>
            </w:pPr>
            <w:r w:rsidRPr="00270209">
              <w:rPr>
                <w:rFonts w:ascii="Times New Roman" w:hAnsi="Times New Roman" w:cs="Times New Roman"/>
                <w:color w:val="000000"/>
                <w:sz w:val="20"/>
                <w:szCs w:val="20"/>
              </w:rPr>
              <w:t>2902 41 000 0 - 2902 44 000 0</w:t>
            </w:r>
          </w:p>
        </w:tc>
        <w:tc>
          <w:tcPr>
            <w:tcW w:w="5705" w:type="dxa"/>
          </w:tcPr>
          <w:p w:rsidR="001F210A" w:rsidRPr="00270209" w:rsidRDefault="001F210A" w:rsidP="00270209">
            <w:pPr>
              <w:pStyle w:val="Default"/>
              <w:rPr>
                <w:sz w:val="20"/>
                <w:szCs w:val="20"/>
              </w:rPr>
            </w:pPr>
            <w:r w:rsidRPr="00270209">
              <w:rPr>
                <w:sz w:val="20"/>
                <w:szCs w:val="20"/>
              </w:rPr>
              <w:t>ксилолы</w:t>
            </w:r>
          </w:p>
        </w:tc>
      </w:tr>
      <w:tr w:rsidR="001F210A" w:rsidRPr="00270209" w:rsidTr="00270209">
        <w:trPr>
          <w:trHeight w:val="103"/>
        </w:trPr>
        <w:tc>
          <w:tcPr>
            <w:tcW w:w="4672" w:type="dxa"/>
          </w:tcPr>
          <w:p w:rsidR="001F210A" w:rsidRPr="00270209" w:rsidRDefault="001F210A" w:rsidP="00DF0D68">
            <w:pPr>
              <w:autoSpaceDE w:val="0"/>
              <w:autoSpaceDN w:val="0"/>
              <w:adjustRightInd w:val="0"/>
              <w:spacing w:after="0" w:line="240" w:lineRule="auto"/>
              <w:rPr>
                <w:rFonts w:ascii="Times New Roman" w:hAnsi="Times New Roman" w:cs="Times New Roman"/>
                <w:color w:val="000000"/>
                <w:sz w:val="20"/>
                <w:szCs w:val="20"/>
              </w:rPr>
            </w:pPr>
            <w:r w:rsidRPr="00270209">
              <w:rPr>
                <w:rFonts w:ascii="Times New Roman" w:hAnsi="Times New Roman" w:cs="Times New Roman"/>
                <w:color w:val="000000"/>
                <w:sz w:val="20"/>
                <w:szCs w:val="20"/>
              </w:rPr>
              <w:t>2713 20 000 0</w:t>
            </w:r>
          </w:p>
        </w:tc>
        <w:tc>
          <w:tcPr>
            <w:tcW w:w="5705" w:type="dxa"/>
          </w:tcPr>
          <w:p w:rsidR="001F210A" w:rsidRPr="00270209" w:rsidRDefault="001F210A" w:rsidP="00270209">
            <w:pPr>
              <w:pStyle w:val="Default"/>
              <w:rPr>
                <w:sz w:val="20"/>
                <w:szCs w:val="20"/>
              </w:rPr>
            </w:pPr>
            <w:r w:rsidRPr="00270209">
              <w:rPr>
                <w:sz w:val="20"/>
                <w:szCs w:val="20"/>
              </w:rPr>
              <w:t>битум нефтяной</w:t>
            </w:r>
          </w:p>
        </w:tc>
      </w:tr>
      <w:tr w:rsidR="001F210A" w:rsidRPr="00270209" w:rsidTr="00270209">
        <w:trPr>
          <w:trHeight w:val="103"/>
        </w:trPr>
        <w:tc>
          <w:tcPr>
            <w:tcW w:w="4672" w:type="dxa"/>
          </w:tcPr>
          <w:p w:rsidR="001F210A" w:rsidRPr="00270209" w:rsidRDefault="001F210A" w:rsidP="00DF0D68">
            <w:pPr>
              <w:autoSpaceDE w:val="0"/>
              <w:autoSpaceDN w:val="0"/>
              <w:adjustRightInd w:val="0"/>
              <w:spacing w:after="0" w:line="240" w:lineRule="auto"/>
              <w:rPr>
                <w:rFonts w:ascii="Times New Roman" w:hAnsi="Times New Roman" w:cs="Times New Roman"/>
                <w:color w:val="000000"/>
                <w:sz w:val="20"/>
                <w:szCs w:val="20"/>
              </w:rPr>
            </w:pPr>
            <w:r w:rsidRPr="00270209">
              <w:rPr>
                <w:rFonts w:ascii="Times New Roman" w:hAnsi="Times New Roman" w:cs="Times New Roman"/>
                <w:color w:val="000000"/>
                <w:sz w:val="20"/>
                <w:szCs w:val="20"/>
              </w:rPr>
              <w:t>2713 90 900 0</w:t>
            </w:r>
          </w:p>
        </w:tc>
        <w:tc>
          <w:tcPr>
            <w:tcW w:w="5705" w:type="dxa"/>
          </w:tcPr>
          <w:p w:rsidR="001F210A" w:rsidRPr="00270209" w:rsidRDefault="001F210A" w:rsidP="00270209">
            <w:pPr>
              <w:pStyle w:val="Default"/>
              <w:rPr>
                <w:sz w:val="20"/>
                <w:szCs w:val="20"/>
              </w:rPr>
            </w:pPr>
            <w:r w:rsidRPr="00270209">
              <w:rPr>
                <w:sz w:val="20"/>
                <w:szCs w:val="20"/>
              </w:rPr>
              <w:t>прочие остатки от переработки нефти или нефтепродуктов, … (кроме гудрона нефтяного в объеме до 280 тыс. тонн в год)</w:t>
            </w:r>
          </w:p>
        </w:tc>
      </w:tr>
    </w:tbl>
    <w:p w:rsidR="00ED13CE" w:rsidRPr="00270209" w:rsidRDefault="00ED13CE" w:rsidP="001F210A">
      <w:pPr>
        <w:rPr>
          <w:rFonts w:ascii="Times New Roman" w:hAnsi="Times New Roman" w:cs="Times New Roman"/>
          <w:sz w:val="24"/>
          <w:szCs w:val="24"/>
        </w:rPr>
      </w:pPr>
    </w:p>
    <w:sectPr w:rsidR="00ED13CE" w:rsidRPr="00270209" w:rsidSect="00270209">
      <w:headerReference w:type="default" r:id="rId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74" w:rsidRDefault="00E52C74" w:rsidP="00EF6736">
      <w:pPr>
        <w:spacing w:after="0" w:line="240" w:lineRule="auto"/>
      </w:pPr>
      <w:r>
        <w:separator/>
      </w:r>
    </w:p>
  </w:endnote>
  <w:endnote w:type="continuationSeparator" w:id="0">
    <w:p w:rsidR="00E52C74" w:rsidRDefault="00E52C74" w:rsidP="00EF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74" w:rsidRDefault="00E52C74" w:rsidP="00EF6736">
      <w:pPr>
        <w:spacing w:after="0" w:line="240" w:lineRule="auto"/>
      </w:pPr>
      <w:r>
        <w:separator/>
      </w:r>
    </w:p>
  </w:footnote>
  <w:footnote w:type="continuationSeparator" w:id="0">
    <w:p w:rsidR="00E52C74" w:rsidRDefault="00E52C74" w:rsidP="00EF6736">
      <w:pPr>
        <w:spacing w:after="0" w:line="240" w:lineRule="auto"/>
      </w:pPr>
      <w:r>
        <w:continuationSeparator/>
      </w:r>
    </w:p>
  </w:footnote>
  <w:footnote w:id="1">
    <w:p w:rsidR="00EF6736" w:rsidRDefault="00EF6736" w:rsidP="00EF6736">
      <w:pPr>
        <w:autoSpaceDE w:val="0"/>
        <w:autoSpaceDN w:val="0"/>
        <w:adjustRightInd w:val="0"/>
        <w:spacing w:after="0" w:line="240" w:lineRule="auto"/>
        <w:ind w:firstLine="539"/>
        <w:jc w:val="both"/>
        <w:rPr>
          <w:rFonts w:ascii="Times New Roman" w:hAnsi="Times New Roman" w:cs="Times New Roman"/>
          <w:sz w:val="24"/>
          <w:szCs w:val="24"/>
        </w:rPr>
      </w:pPr>
      <w:r>
        <w:rPr>
          <w:rStyle w:val="a6"/>
        </w:rPr>
        <w:footnoteRef/>
      </w:r>
      <w:r>
        <w:t xml:space="preserve"> </w:t>
      </w:r>
      <w:r>
        <w:rPr>
          <w:rFonts w:ascii="Times New Roman" w:hAnsi="Times New Roman" w:cs="Times New Roman"/>
          <w:sz w:val="20"/>
          <w:szCs w:val="20"/>
        </w:rPr>
        <w:t>Ю</w:t>
      </w:r>
      <w:r w:rsidRPr="00EF6736">
        <w:rPr>
          <w:rFonts w:ascii="Times New Roman" w:hAnsi="Times New Roman" w:cs="Times New Roman"/>
          <w:sz w:val="20"/>
          <w:szCs w:val="20"/>
        </w:rPr>
        <w:t xml:space="preserve">ридическое лицо с местом нахождения в Российской Федерации, созданное в соответствии с </w:t>
      </w:r>
      <w:hyperlink r:id="rId1" w:history="1">
        <w:r w:rsidRPr="00EF6736">
          <w:rPr>
            <w:rFonts w:ascii="Times New Roman" w:hAnsi="Times New Roman" w:cs="Times New Roman"/>
            <w:sz w:val="20"/>
            <w:szCs w:val="20"/>
          </w:rPr>
          <w:t>законодательством</w:t>
        </w:r>
      </w:hyperlink>
      <w:r w:rsidRPr="00EF6736">
        <w:rPr>
          <w:rFonts w:ascii="Times New Roman" w:hAnsi="Times New Roman" w:cs="Times New Roman"/>
          <w:sz w:val="20"/>
          <w:szCs w:val="20"/>
        </w:rPr>
        <w:t xml:space="preserve"> Российской Федерации, и (или) физическое лицо, </w:t>
      </w:r>
      <w:hyperlink r:id="rId2" w:history="1">
        <w:r w:rsidRPr="00EF6736">
          <w:rPr>
            <w:rFonts w:ascii="Times New Roman" w:hAnsi="Times New Roman" w:cs="Times New Roman"/>
            <w:sz w:val="20"/>
            <w:szCs w:val="20"/>
          </w:rPr>
          <w:t>зарегистрированное</w:t>
        </w:r>
      </w:hyperlink>
      <w:r w:rsidRPr="00EF6736">
        <w:rPr>
          <w:rFonts w:ascii="Times New Roman" w:hAnsi="Times New Roman" w:cs="Times New Roman"/>
          <w:sz w:val="20"/>
          <w:szCs w:val="20"/>
        </w:rPr>
        <w:t xml:space="preserve"> в качестве индивидуального предпринимателя и постоянно проживающее в Российской Федерации.</w:t>
      </w:r>
    </w:p>
    <w:p w:rsidR="00EF6736" w:rsidRDefault="00EF6736">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693039"/>
      <w:docPartObj>
        <w:docPartGallery w:val="Page Numbers (Top of Page)"/>
        <w:docPartUnique/>
      </w:docPartObj>
    </w:sdtPr>
    <w:sdtEndPr/>
    <w:sdtContent>
      <w:p w:rsidR="002612BA" w:rsidRDefault="002612BA">
        <w:pPr>
          <w:pStyle w:val="a7"/>
          <w:jc w:val="center"/>
        </w:pPr>
        <w:r>
          <w:fldChar w:fldCharType="begin"/>
        </w:r>
        <w:r>
          <w:instrText>PAGE   \* MERGEFORMAT</w:instrText>
        </w:r>
        <w:r>
          <w:fldChar w:fldCharType="separate"/>
        </w:r>
        <w:r w:rsidR="00270209">
          <w:rPr>
            <w:noProof/>
          </w:rPr>
          <w:t>2</w:t>
        </w:r>
        <w:r>
          <w:fldChar w:fldCharType="end"/>
        </w:r>
      </w:p>
    </w:sdtContent>
  </w:sdt>
  <w:p w:rsidR="002612BA" w:rsidRDefault="002612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78"/>
    <w:rsid w:val="00110FDC"/>
    <w:rsid w:val="00143332"/>
    <w:rsid w:val="001477A1"/>
    <w:rsid w:val="001F210A"/>
    <w:rsid w:val="001F6799"/>
    <w:rsid w:val="002612BA"/>
    <w:rsid w:val="00270209"/>
    <w:rsid w:val="00320535"/>
    <w:rsid w:val="003B4B38"/>
    <w:rsid w:val="003F2E8B"/>
    <w:rsid w:val="004069CD"/>
    <w:rsid w:val="00460E78"/>
    <w:rsid w:val="00497670"/>
    <w:rsid w:val="004D5423"/>
    <w:rsid w:val="007154C8"/>
    <w:rsid w:val="00A0171C"/>
    <w:rsid w:val="00A45578"/>
    <w:rsid w:val="00AC4DC0"/>
    <w:rsid w:val="00B77186"/>
    <w:rsid w:val="00C46B0D"/>
    <w:rsid w:val="00C509EC"/>
    <w:rsid w:val="00C749ED"/>
    <w:rsid w:val="00C854CA"/>
    <w:rsid w:val="00CA710C"/>
    <w:rsid w:val="00D85846"/>
    <w:rsid w:val="00E52C74"/>
    <w:rsid w:val="00ED13CE"/>
    <w:rsid w:val="00EF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710C"/>
    <w:rPr>
      <w:color w:val="0000FF" w:themeColor="hyperlink"/>
      <w:u w:val="single"/>
    </w:rPr>
  </w:style>
  <w:style w:type="paragraph" w:styleId="a4">
    <w:name w:val="footnote text"/>
    <w:basedOn w:val="a"/>
    <w:link w:val="a5"/>
    <w:uiPriority w:val="99"/>
    <w:semiHidden/>
    <w:unhideWhenUsed/>
    <w:rsid w:val="00EF6736"/>
    <w:pPr>
      <w:spacing w:after="0" w:line="240" w:lineRule="auto"/>
    </w:pPr>
    <w:rPr>
      <w:sz w:val="20"/>
      <w:szCs w:val="20"/>
    </w:rPr>
  </w:style>
  <w:style w:type="character" w:customStyle="1" w:styleId="a5">
    <w:name w:val="Текст сноски Знак"/>
    <w:basedOn w:val="a0"/>
    <w:link w:val="a4"/>
    <w:uiPriority w:val="99"/>
    <w:semiHidden/>
    <w:rsid w:val="00EF6736"/>
    <w:rPr>
      <w:sz w:val="20"/>
      <w:szCs w:val="20"/>
    </w:rPr>
  </w:style>
  <w:style w:type="character" w:styleId="a6">
    <w:name w:val="footnote reference"/>
    <w:basedOn w:val="a0"/>
    <w:uiPriority w:val="99"/>
    <w:semiHidden/>
    <w:unhideWhenUsed/>
    <w:rsid w:val="00EF6736"/>
    <w:rPr>
      <w:vertAlign w:val="superscript"/>
    </w:rPr>
  </w:style>
  <w:style w:type="paragraph" w:customStyle="1" w:styleId="Default">
    <w:name w:val="Default"/>
    <w:rsid w:val="00110FD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612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12BA"/>
  </w:style>
  <w:style w:type="paragraph" w:styleId="a9">
    <w:name w:val="footer"/>
    <w:basedOn w:val="a"/>
    <w:link w:val="aa"/>
    <w:uiPriority w:val="99"/>
    <w:unhideWhenUsed/>
    <w:rsid w:val="002612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2BA"/>
  </w:style>
  <w:style w:type="paragraph" w:styleId="ab">
    <w:name w:val="Balloon Text"/>
    <w:basedOn w:val="a"/>
    <w:link w:val="ac"/>
    <w:uiPriority w:val="99"/>
    <w:semiHidden/>
    <w:unhideWhenUsed/>
    <w:rsid w:val="002612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12BA"/>
    <w:rPr>
      <w:rFonts w:ascii="Tahoma" w:hAnsi="Tahoma" w:cs="Tahoma"/>
      <w:sz w:val="16"/>
      <w:szCs w:val="16"/>
    </w:rPr>
  </w:style>
  <w:style w:type="paragraph" w:styleId="ad">
    <w:name w:val="No Spacing"/>
    <w:uiPriority w:val="1"/>
    <w:qFormat/>
    <w:rsid w:val="002702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710C"/>
    <w:rPr>
      <w:color w:val="0000FF" w:themeColor="hyperlink"/>
      <w:u w:val="single"/>
    </w:rPr>
  </w:style>
  <w:style w:type="paragraph" w:styleId="a4">
    <w:name w:val="footnote text"/>
    <w:basedOn w:val="a"/>
    <w:link w:val="a5"/>
    <w:uiPriority w:val="99"/>
    <w:semiHidden/>
    <w:unhideWhenUsed/>
    <w:rsid w:val="00EF6736"/>
    <w:pPr>
      <w:spacing w:after="0" w:line="240" w:lineRule="auto"/>
    </w:pPr>
    <w:rPr>
      <w:sz w:val="20"/>
      <w:szCs w:val="20"/>
    </w:rPr>
  </w:style>
  <w:style w:type="character" w:customStyle="1" w:styleId="a5">
    <w:name w:val="Текст сноски Знак"/>
    <w:basedOn w:val="a0"/>
    <w:link w:val="a4"/>
    <w:uiPriority w:val="99"/>
    <w:semiHidden/>
    <w:rsid w:val="00EF6736"/>
    <w:rPr>
      <w:sz w:val="20"/>
      <w:szCs w:val="20"/>
    </w:rPr>
  </w:style>
  <w:style w:type="character" w:styleId="a6">
    <w:name w:val="footnote reference"/>
    <w:basedOn w:val="a0"/>
    <w:uiPriority w:val="99"/>
    <w:semiHidden/>
    <w:unhideWhenUsed/>
    <w:rsid w:val="00EF6736"/>
    <w:rPr>
      <w:vertAlign w:val="superscript"/>
    </w:rPr>
  </w:style>
  <w:style w:type="paragraph" w:customStyle="1" w:styleId="Default">
    <w:name w:val="Default"/>
    <w:rsid w:val="00110FD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612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12BA"/>
  </w:style>
  <w:style w:type="paragraph" w:styleId="a9">
    <w:name w:val="footer"/>
    <w:basedOn w:val="a"/>
    <w:link w:val="aa"/>
    <w:uiPriority w:val="99"/>
    <w:unhideWhenUsed/>
    <w:rsid w:val="002612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2BA"/>
  </w:style>
  <w:style w:type="paragraph" w:styleId="ab">
    <w:name w:val="Balloon Text"/>
    <w:basedOn w:val="a"/>
    <w:link w:val="ac"/>
    <w:uiPriority w:val="99"/>
    <w:semiHidden/>
    <w:unhideWhenUsed/>
    <w:rsid w:val="002612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12BA"/>
    <w:rPr>
      <w:rFonts w:ascii="Tahoma" w:hAnsi="Tahoma" w:cs="Tahoma"/>
      <w:sz w:val="16"/>
      <w:szCs w:val="16"/>
    </w:rPr>
  </w:style>
  <w:style w:type="paragraph" w:styleId="ad">
    <w:name w:val="No Spacing"/>
    <w:uiPriority w:val="1"/>
    <w:qFormat/>
    <w:rsid w:val="00270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6F93FB774367357A48DA2FF21BD63973C6263B2BCD2D3C0EC035503DB2A5DE7523A4170E0A8ADb8AB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6089D727FE0685EA3A85070954587396E55252BB77B1F68E4306F29AA6pDD9K" TargetMode="External"/><Relationship Id="rId1" Type="http://schemas.openxmlformats.org/officeDocument/2006/relationships/hyperlink" Target="consultantplus://offline/ref=6089D727FE0685EA3A85070954587396E55252BB76B7F68E4306F29AA6pDD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2273-D093-49A5-8051-BB079C30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UTU</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 Виталий Валерьевич</dc:creator>
  <cp:lastModifiedBy>Фельдшаров Владимир Юрьевич</cp:lastModifiedBy>
  <cp:revision>4</cp:revision>
  <cp:lastPrinted>2018-07-23T11:11:00Z</cp:lastPrinted>
  <dcterms:created xsi:type="dcterms:W3CDTF">2018-07-30T05:45:00Z</dcterms:created>
  <dcterms:modified xsi:type="dcterms:W3CDTF">2018-07-30T06:01:00Z</dcterms:modified>
</cp:coreProperties>
</file>