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731" w:rsidRDefault="002F3731">
      <w:pPr>
        <w:pStyle w:val="ConsPlusTitle"/>
        <w:jc w:val="center"/>
        <w:outlineLvl w:val="0"/>
      </w:pPr>
      <w:r>
        <w:t>ПРАВИТЕЛЬСТВО СВЕРДЛОВСКОЙ ОБЛАСТИ</w:t>
      </w:r>
    </w:p>
    <w:p w:rsidR="002F3731" w:rsidRDefault="002F3731">
      <w:pPr>
        <w:pStyle w:val="ConsPlusTitle"/>
        <w:jc w:val="center"/>
      </w:pPr>
      <w:r>
        <w:t>ПОСТАНОВЛЕНИЕ</w:t>
      </w:r>
    </w:p>
    <w:p w:rsidR="002F3731" w:rsidRDefault="002F3731">
      <w:pPr>
        <w:pStyle w:val="ConsPlusTitle"/>
        <w:jc w:val="center"/>
      </w:pPr>
      <w:proofErr w:type="gramStart"/>
      <w:r>
        <w:t>от</w:t>
      </w:r>
      <w:proofErr w:type="gramEnd"/>
      <w:r>
        <w:t xml:space="preserve"> 18 октября 2017 г. N 780-ПП</w:t>
      </w:r>
    </w:p>
    <w:p w:rsidR="002F3731" w:rsidRDefault="002F3731">
      <w:pPr>
        <w:pStyle w:val="ConsPlusTitle"/>
        <w:jc w:val="center"/>
      </w:pPr>
      <w:r>
        <w:t>ОБ УТВЕРЖДЕНИИ ПОРЯДКА СБОРА ТВЕРДЫХ КОММУНАЛЬНЫХ ОТХОДОВ</w:t>
      </w:r>
    </w:p>
    <w:p w:rsidR="002F3731" w:rsidRDefault="002F3731">
      <w:pPr>
        <w:pStyle w:val="ConsPlusTitle"/>
        <w:jc w:val="center"/>
      </w:pPr>
      <w:r>
        <w:t>(В ТОМ ЧИСЛЕ ИХ РАЗДЕЛЬНОГО СБОРА)</w:t>
      </w:r>
    </w:p>
    <w:p w:rsidR="002F3731" w:rsidRDefault="002F3731">
      <w:pPr>
        <w:pStyle w:val="ConsPlusTitle"/>
        <w:jc w:val="center"/>
      </w:pPr>
      <w:r>
        <w:t>НА ТЕРРИТОРИИ СВЕРДЛОВСКОЙ ОБЛАСТИ</w:t>
      </w:r>
    </w:p>
    <w:p w:rsidR="002F3731" w:rsidRDefault="002F3731">
      <w:pPr>
        <w:pStyle w:val="ConsPlusNormal"/>
      </w:pPr>
    </w:p>
    <w:p w:rsidR="002F3731" w:rsidRDefault="002F3731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6</w:t>
        </w:r>
      </w:hyperlink>
      <w:r>
        <w:t xml:space="preserve"> Федерального закона от 24 июня 1998 года N 89-ФЗ "Об отходах производства и потребления",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28 декабря 2016 года N 486-ФЗ "О внесении изменений в отдельные законодательные акты Российской Федерации",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г. N 641", </w:t>
      </w:r>
      <w:hyperlink r:id="rId7" w:history="1">
        <w:r>
          <w:rPr>
            <w:color w:val="0000FF"/>
          </w:rPr>
          <w:t>статьей 3</w:t>
        </w:r>
      </w:hyperlink>
      <w:r>
        <w:t xml:space="preserve"> Областного закона от 19 декабря 1997 года N 77-ОЗ "Об отходах производства и потребления", в целях организации и осуществления деятельности по сбору твердых коммунальных отходов, образующихся на территории Свердловской области, предотвращения или снижения негативного воздействия отходов на здоровье человека и окружающую среду Правительство Свердловской области постановляет:</w:t>
      </w:r>
    </w:p>
    <w:p w:rsidR="002F3731" w:rsidRDefault="002F3731" w:rsidP="002F3731">
      <w:pPr>
        <w:pStyle w:val="ConsPlusNormal"/>
        <w:ind w:firstLine="540"/>
        <w:jc w:val="both"/>
      </w:pPr>
      <w:r>
        <w:t xml:space="preserve">1. Утвердить </w:t>
      </w:r>
      <w:hyperlink w:anchor="P29" w:history="1">
        <w:r>
          <w:rPr>
            <w:color w:val="0000FF"/>
          </w:rPr>
          <w:t>Порядок</w:t>
        </w:r>
      </w:hyperlink>
      <w:r>
        <w:t xml:space="preserve"> сбора твердых коммунальных отходов (в том числе их раздельного сбора) на территории Свердловской области (прилагается).</w:t>
      </w:r>
    </w:p>
    <w:p w:rsidR="002F3731" w:rsidRDefault="002F3731" w:rsidP="002F3731">
      <w:pPr>
        <w:pStyle w:val="ConsPlusNormal"/>
        <w:ind w:firstLine="540"/>
        <w:jc w:val="both"/>
      </w:pPr>
      <w:r>
        <w:t xml:space="preserve">2. Контроль за исполнением настоящего Постановления возложить на Заместителя Губернатора Свердловской области С.В. </w:t>
      </w:r>
      <w:proofErr w:type="spellStart"/>
      <w:r>
        <w:t>Швиндта</w:t>
      </w:r>
      <w:proofErr w:type="spellEnd"/>
      <w:r>
        <w:t>.</w:t>
      </w:r>
    </w:p>
    <w:p w:rsidR="002F3731" w:rsidRDefault="002F3731" w:rsidP="002F3731">
      <w:pPr>
        <w:pStyle w:val="ConsPlusNormal"/>
        <w:ind w:firstLine="540"/>
        <w:jc w:val="both"/>
      </w:pPr>
      <w:r>
        <w:t>3. Настоящее Постановление вступает в силу с 1 января 2019 года.</w:t>
      </w:r>
    </w:p>
    <w:p w:rsidR="002F3731" w:rsidRDefault="002F3731" w:rsidP="002F3731">
      <w:pPr>
        <w:pStyle w:val="ConsPlusNormal"/>
        <w:ind w:firstLine="540"/>
        <w:jc w:val="both"/>
      </w:pPr>
      <w:r>
        <w:t>4. Настоящее Постановление опубликовать в "Областной газете".</w:t>
      </w:r>
    </w:p>
    <w:p w:rsidR="002F3731" w:rsidRDefault="002F3731">
      <w:pPr>
        <w:pStyle w:val="ConsPlusNormal"/>
      </w:pPr>
    </w:p>
    <w:p w:rsidR="002F3731" w:rsidRDefault="002F3731">
      <w:pPr>
        <w:pStyle w:val="ConsPlusNormal"/>
        <w:jc w:val="right"/>
      </w:pPr>
      <w:r>
        <w:t>Губернатор Свердловской области</w:t>
      </w:r>
    </w:p>
    <w:p w:rsidR="002F3731" w:rsidRDefault="002F3731">
      <w:pPr>
        <w:pStyle w:val="ConsPlusNormal"/>
        <w:jc w:val="right"/>
      </w:pPr>
      <w:r>
        <w:t>Е.В.КУЙВАШЕВ</w:t>
      </w:r>
    </w:p>
    <w:p w:rsidR="002F3731" w:rsidRDefault="002F3731">
      <w:pPr>
        <w:pStyle w:val="ConsPlusNormal"/>
      </w:pPr>
    </w:p>
    <w:p w:rsidR="002F3731" w:rsidRDefault="002F3731" w:rsidP="002F3731">
      <w:pPr>
        <w:pStyle w:val="ConsPlusNormal"/>
        <w:jc w:val="right"/>
        <w:outlineLvl w:val="0"/>
      </w:pPr>
      <w:r>
        <w:t>Утвержден Постановлением Правительства</w:t>
      </w:r>
    </w:p>
    <w:p w:rsidR="002F3731" w:rsidRDefault="002F3731">
      <w:pPr>
        <w:pStyle w:val="ConsPlusNormal"/>
        <w:jc w:val="right"/>
      </w:pPr>
      <w:r>
        <w:t>Свердловской области от 18 октября 2017 г. N 780-ПП</w:t>
      </w:r>
    </w:p>
    <w:p w:rsidR="002F3731" w:rsidRDefault="002F3731">
      <w:pPr>
        <w:pStyle w:val="ConsPlusNormal"/>
      </w:pPr>
    </w:p>
    <w:p w:rsidR="002F3731" w:rsidRDefault="002F3731">
      <w:pPr>
        <w:pStyle w:val="ConsPlusTitle"/>
        <w:jc w:val="center"/>
      </w:pPr>
      <w:bookmarkStart w:id="0" w:name="P29"/>
      <w:bookmarkEnd w:id="0"/>
      <w:r>
        <w:t>ПОРЯДОК СБОРА ТВЕРДЫХ КОММУНАЛЬНЫХ ОТХОДОВ</w:t>
      </w:r>
    </w:p>
    <w:p w:rsidR="002F3731" w:rsidRDefault="002F3731">
      <w:pPr>
        <w:pStyle w:val="ConsPlusTitle"/>
        <w:jc w:val="center"/>
      </w:pPr>
      <w:r>
        <w:t>(В ТОМ ЧИСЛЕ ИХ РАЗДЕЛЬНОГО СБОРА) НА ТЕРРИТОРИИ СВЕРДЛОВСКОЙ ОБЛАСТИ</w:t>
      </w:r>
    </w:p>
    <w:p w:rsidR="002F3731" w:rsidRDefault="002F3731">
      <w:pPr>
        <w:pStyle w:val="ConsPlusNormal"/>
      </w:pPr>
    </w:p>
    <w:p w:rsidR="002F3731" w:rsidRPr="002F3731" w:rsidRDefault="002F3731">
      <w:pPr>
        <w:pStyle w:val="ConsPlusNormal"/>
        <w:jc w:val="center"/>
        <w:outlineLvl w:val="1"/>
        <w:rPr>
          <w:b/>
        </w:rPr>
      </w:pPr>
      <w:r w:rsidRPr="002F3731">
        <w:rPr>
          <w:b/>
        </w:rPr>
        <w:t>Глава 1. ОБЩИЕ ПОЛОЖЕНИЯ</w:t>
      </w:r>
    </w:p>
    <w:p w:rsidR="002F3731" w:rsidRDefault="002F3731">
      <w:pPr>
        <w:pStyle w:val="ConsPlusNormal"/>
        <w:ind w:firstLine="540"/>
        <w:jc w:val="both"/>
      </w:pPr>
      <w:r>
        <w:t xml:space="preserve">1. Настоящий Порядок разработан в соответствии со </w:t>
      </w:r>
      <w:hyperlink r:id="rId8" w:history="1">
        <w:r>
          <w:rPr>
            <w:color w:val="0000FF"/>
          </w:rPr>
          <w:t>статьей 6</w:t>
        </w:r>
      </w:hyperlink>
      <w:r>
        <w:t xml:space="preserve"> Федерального закона от 24 июня 1998 года N 89-ФЗ "Об отходах производства и потребления",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г. N 641", </w:t>
      </w:r>
      <w:hyperlink r:id="rId10" w:history="1">
        <w:r>
          <w:rPr>
            <w:color w:val="0000FF"/>
          </w:rPr>
          <w:t>статьей 3</w:t>
        </w:r>
      </w:hyperlink>
      <w:r>
        <w:t xml:space="preserve"> Областного закона от 19 декабря 1997 года N 77-ОЗ "Об отходах производства и потребления".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2. Настоящий Порядок устанавливает правила организации и осуществления деятельности по сбору твердых коммунальных отходов (в том числе их раздельному сбору), образующихся на территории Свердловской области.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3. В настоящем Порядке используются следующие понятия: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1) бункер - мусоросборник, предназначенный для складирования крупногабаритных отходов;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2) вывоз твердых коммунальных отходов - транспортирование твердых коммунальных отходов (далее - ТКО) от мест их накопления и сбора до объектов, используемых для обработки, утилизации, обезвреживания, захоронения ТКО;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3) контейнер - мусоросборник, предназначенный для складирования ТКО, за исключением крупногабаритных отходов;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4) контейнерная площадка - место накопления твердых коммунальных отходов, обустроенное в соответствии с требованиями законодательства Российской Федерации в сфере охраны окружающей среды и законодательства Российской Федерации в сфере обеспечения санитарно-эпидемиологического благополучия населения и предназначенное для размещения контейнеров и бункеров;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lastRenderedPageBreak/>
        <w:t>5) крупногабаритные отходы - ТКО (мебель, бытовая техника, отходы от текущего ремонта жилых помещений и другое), размер которых не позволяет осуществить их складирование в контейнерах;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6) мусоровоз - транспортное средство категории N, используемое для перевозки ТКО;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7) накопление отходов - временное складирование отходов (на срок не более чем одиннадцать месяцев) в местах (на площадках), обустроенных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населения, в целях их дальнейших утилизации, обезвреживания, размещения, транспортирования;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8) обращение с отходами - деятельность по сбору, накоплению, транспортированию, обработке, утилизации, обезвреживанию, размещению отходов;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9) оператор по обращению с ТКО - индивидуальный предприниматель или юридическое лицо, осуществляющие деятельность по сбору, транспортированию, обработке, утилизации, обезвреживанию, захоронению ТКО;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10) потребитель - собственник ТКО или уполномоченное им лицо, заключившее или обязанное заключить с региональным оператором договор на оказание услуг по обращению с ТКО;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11) региональный оператор по обращению с ТКО (далее - региональный оператор) - оператор по обращению с ТКО - юридическое лицо, которое обязано заключить договор на оказание услуг по обращению с ТКО с собственником ТКО, которые образуются и места сбора которых находятся в зоне деятельности регионального оператора;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12) сбор отходов - прием или поступление отходов от физических лиц и юридических лиц в целях дальнейших обработки, утилизации, обезвреживания, транспортирования, размещения таких отходов;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13) ТКО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ТКО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4. Обращение с ТКО на территории Свердловской области обеспечивается региональными операторами в соответствии с региональной программой в области обращения с отходами, в том числе с ТКО, и территориальной схемой обращения с отходами производства и потребления, в том числе с ТКО, Свердловской области (далее - территориальная схема), на основании договоров на оказание услуг по обращению с ТКО, заключенных с потребителями.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Региональный оператор осуществляет сбор, транспортирование, обработку, утилизацию, обезвреживание, захоронение ТКО самостоятельно или с привлечением операторов по обращению с ТКО.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5. Потребители осуществляют складирование ТКО в местах сбора и накопления ТКО, определенных договором на оказание услуг по обращению с ТКО, заключенным с региональным оператором (оператором) по обращению с ТКО в соответствии с территориальной схемой.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В случае если в территориальной схеме отсутствует информация о местах сбора и накопления ТКО, региональный оператор направляет информацию о выявленных местах сбора и накопления ТКО в Министерство энергетики и жилищно-коммунального хозяйства Свердловской области для включения сведений о местах сбора и накопления ТКО в территориальную схему.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6. В соответствии с договором на оказание услуг по обращению с ТКО в местах сбора и накопления ТКО складирование ТКО осуществляется потребителями следующими способами: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1) в контейнеры, расположенные в мусороприемных камерах (при наличии соответствующей внутридомовой инженерной системы);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2) в контейнеры, бункеры, расположенные на контейнерных площадках;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lastRenderedPageBreak/>
        <w:t>3) в пакеты или другие емкости, предоставленные региональным оператором;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4) на специальных площадках для складирования крупногабаритных отходов.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7. Места расположения контейнерных площадок определяются в соответствии с территориальной схемой.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8. Информация о местах расположения контейнерных площадок, количестве и объеме размещенных на них контейнеров направляется региональным оператором в Министерство энергетики и жилищно-коммунального хозяйства Свердловской области для включения в территориальную схему в сроки, установленные соглашением между Министерством энергетики и жилищно-коммунального хозяйства Свердловской области и региональным оператором об организации деятельности по обращению с ТКО.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9. Региональный оператор несет ответственность за обращение с ТКО с момента погрузки таких отходов в мусоровоз в местах сбора и накопления ТКО. При этом бремя содержания контейнерных площадок, специальных площадок для складирования крупногабаритных отходов и территории, прилегающей к месту погрузки ТКО, расположенных на придомовой территории, входящей в состав общего имущества собственников помещений в многоквартирном доме, несут собственники помещений в многоквартирном доме.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Бремя содержания контейнерных площадок, специальных площадок для складирования крупногабаритных отходов и территории, прилегающей к месту погрузки ТКО, не входящих в состав общего имущества собственников помещений в многоквартирных домах, несут собственники земельных участков, на которых расположены такие площадки, или иные лица, указанные в соглашении между Министерством энергетики и жилищно-коммунального хозяйства Свердловской области и региональным оператором об организации деятельности по обращению с ТКО.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10. Лицо, ответственное за содержание контейнерных площадок, специальных площадок для складирования крупногабаритных отходов в соответствии с договором на оказание услуг по обращению с ТКО, обязано обеспечить на таких площадках размещение информации об обслуживаемых объектах потребителей и о собственнике площадок.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11. Запрещается осуществлять складирование ТКО в местах сбора и накопления ТКО, не указанных в договоре на оказание услуг по обращению с ТКО.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Запрещается складировать ТКО вне контейнеров или в контейнеры, не предназначенные для таких видов отходов, за исключением случаев, установленных законодательством Российской Федерации.</w:t>
      </w:r>
    </w:p>
    <w:p w:rsidR="002F3731" w:rsidRDefault="002F3731">
      <w:pPr>
        <w:pStyle w:val="ConsPlusNormal"/>
      </w:pPr>
    </w:p>
    <w:p w:rsidR="002F3731" w:rsidRPr="002F3731" w:rsidRDefault="002F3731">
      <w:pPr>
        <w:pStyle w:val="ConsPlusNormal"/>
        <w:jc w:val="center"/>
        <w:outlineLvl w:val="1"/>
        <w:rPr>
          <w:b/>
        </w:rPr>
      </w:pPr>
      <w:r w:rsidRPr="002F3731">
        <w:rPr>
          <w:b/>
        </w:rPr>
        <w:t>Глава 2. РАЗДЕЛЬНЫЙ СБОР ТКО</w:t>
      </w:r>
    </w:p>
    <w:p w:rsidR="002F3731" w:rsidRDefault="002F3731">
      <w:pPr>
        <w:pStyle w:val="ConsPlusNormal"/>
        <w:ind w:firstLine="540"/>
        <w:jc w:val="both"/>
      </w:pPr>
      <w:r>
        <w:t>12. Раздельный сбор ТКО предусматривает разделение ТКО по установленным видам отходов и складирование отсортированных ТКО в контейнерах для соответствующих видов отходов.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13. В случае оборудования контейнерной площадки контейнерами для раздельного сбора отдельных видов отходов, потребители, операторы по обращению с ТКО, осуществляющие деятельность по сбору и транспортированию ТКО, разделяют ТКО по видам отходов и складируют сортированные ТКО в отдельных контейнерах для соответствующих видов ТКО, установленных на контейнерной площадке. Решение об оборудовании контейнерной площадки контейнерами для раздельного сбора отдельных видов отходов принимается по согласованию с региональным оператором, с которым заключен договор на оказание услуг по обращению с ТКО.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Осуществление такого разделения ТКО не влечет необходимости получения потребителем лицензии на деятельность по сбору, транспортированию, обработке, утилизации, обезвреживанию, размещению отходов I - IV классов опасности.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14. При осуществлении раздельного сбора отходов используются контейнеры с цветовой индикацией или символическим изображением вида отхода.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Для контейнеров с цветовой индикацией используется следующая цветовая гамма: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"несортированные отходы" - серый цвет;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lastRenderedPageBreak/>
        <w:t>"бумага" - коричневый цвет;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"пластик" - синий цвет;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"стекло" - зеленый цвет;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"пищевые отходы" - черный цвет;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"ртутьсодержащие отходы" - желтый цвет;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"элементы питания" - оранжевый цвет.</w:t>
      </w:r>
    </w:p>
    <w:p w:rsidR="002F3731" w:rsidRDefault="002F3731">
      <w:pPr>
        <w:pStyle w:val="ConsPlusNormal"/>
        <w:spacing w:before="220"/>
        <w:ind w:firstLine="540"/>
        <w:jc w:val="both"/>
      </w:pPr>
      <w:bookmarkStart w:id="1" w:name="P83"/>
      <w:bookmarkEnd w:id="1"/>
      <w:r>
        <w:t xml:space="preserve">15. В контейнеры с коричневой цветовой индикацией складируются отходы, классифицируемые в соответствии с Федеральным классификационным </w:t>
      </w:r>
      <w:hyperlink r:id="rId11" w:history="1">
        <w:r>
          <w:rPr>
            <w:color w:val="0000FF"/>
          </w:rPr>
          <w:t>каталогом</w:t>
        </w:r>
      </w:hyperlink>
      <w:r>
        <w:t xml:space="preserve"> отходов, утвержденным Приказом Федеральной службы по надзору в сфере природопользования от 22.05.2017 N 242 "Об утверждении Федерального классификационного каталога отходов" (далее - ФККО), как бумага и изделия из бумаги, утратившие свои потребительские свойства.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 xml:space="preserve">16. В контейнеры с синей цветовой индикацией складируются отходы, классифицируемые в соответствии с </w:t>
      </w:r>
      <w:hyperlink r:id="rId12" w:history="1">
        <w:r>
          <w:rPr>
            <w:color w:val="0000FF"/>
          </w:rPr>
          <w:t>ФККО</w:t>
        </w:r>
      </w:hyperlink>
      <w:r>
        <w:t xml:space="preserve"> как пластмассовые изделия, утратившие свои потребительские свойства (не включая резиновые изделия), очищенные от загрязнений.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 xml:space="preserve">17. В контейнеры с зеленой цветовой индикацией складируются отходы, классифицируемые в соответствии с </w:t>
      </w:r>
      <w:hyperlink r:id="rId13" w:history="1">
        <w:r>
          <w:rPr>
            <w:color w:val="0000FF"/>
          </w:rPr>
          <w:t>ФККО</w:t>
        </w:r>
      </w:hyperlink>
      <w:r>
        <w:t xml:space="preserve"> как отходы стекла и изделий из стекла, очищенные от загрязнений.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 xml:space="preserve">18. В контейнеры с черной цветовой индикацией складируются отходы, классифицируемые в соответствии с </w:t>
      </w:r>
      <w:hyperlink r:id="rId14" w:history="1">
        <w:r>
          <w:rPr>
            <w:color w:val="0000FF"/>
          </w:rPr>
          <w:t>ФККО</w:t>
        </w:r>
      </w:hyperlink>
      <w:r>
        <w:t xml:space="preserve"> как отходы пищевой продукции, исключая напитки и табачные изделия.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19. В контейнеры с желтой цветовой индикацией складируются ртутьсодержащие отходы.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 xml:space="preserve">Обращение с такими видами отходов осуществляется в соответствии с </w:t>
      </w:r>
      <w:hyperlink r:id="rId15" w:history="1">
        <w:r>
          <w:rPr>
            <w:color w:val="0000FF"/>
          </w:rPr>
          <w:t>Правилами</w:t>
        </w:r>
      </w:hyperlink>
      <w:r>
        <w:t xml:space="preserve">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или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Российской Федерации от 03.09.2010 N 681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среде".</w:t>
      </w:r>
    </w:p>
    <w:p w:rsidR="002F3731" w:rsidRDefault="002F3731">
      <w:pPr>
        <w:pStyle w:val="ConsPlusNormal"/>
        <w:spacing w:before="220"/>
        <w:ind w:firstLine="540"/>
        <w:jc w:val="both"/>
      </w:pPr>
      <w:bookmarkStart w:id="2" w:name="P89"/>
      <w:bookmarkEnd w:id="2"/>
      <w:r>
        <w:t>20. В контейнеры с оранжевой цветовой индикацией складируются элементы питания (батареи и аккумуляторы, за исключением автомобильных), утратившие потребительские свойства.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 xml:space="preserve">21. В контейнеры с серой цветовой индикацией складируются ТКО, не относящиеся к отходам, указанным в </w:t>
      </w:r>
      <w:hyperlink w:anchor="P83" w:history="1">
        <w:r>
          <w:rPr>
            <w:color w:val="0000FF"/>
          </w:rPr>
          <w:t>пунктах 15</w:t>
        </w:r>
      </w:hyperlink>
      <w:r>
        <w:t xml:space="preserve"> - </w:t>
      </w:r>
      <w:hyperlink w:anchor="P89" w:history="1">
        <w:r>
          <w:rPr>
            <w:color w:val="0000FF"/>
          </w:rPr>
          <w:t>20</w:t>
        </w:r>
      </w:hyperlink>
      <w:r>
        <w:t xml:space="preserve"> настоящего Порядка, либо отходы, в отношении которых не осуществляется раздельный сбор.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В контейнерах, предназначенных для несортированных отходов, запрещается складировать горящие, раскаленные или горячие отходы, крупногабаритные отходы, снег и лед, осветительные приборы и электрические лампы, содержащие ртуть, батареи и аккумуляторы, медицинские отходы, а также иные отходы,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ТКО.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22. В случае если контейнер с ТКО, подлежащими утилизации, содержит несортированные отходы, оператор по обращению с отходами, осуществляющий сбор и вывоз ТКО, вправе отказаться от их вывоза либо вывезти такие отходы вместе с несортированными отходами, уведомив регионального оператора не позднее чем на следующий день.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Региональный оператор вправе скорректировать объем и (или) массу вывезенных ТКО, учитываемых при расчете по договору на оказание услуг по обращению с ТКО.</w:t>
      </w:r>
    </w:p>
    <w:p w:rsidR="002F3731" w:rsidRDefault="002F3731">
      <w:pPr>
        <w:pStyle w:val="ConsPlusNormal"/>
      </w:pPr>
    </w:p>
    <w:p w:rsidR="002F3731" w:rsidRPr="002F3731" w:rsidRDefault="002F3731">
      <w:pPr>
        <w:pStyle w:val="ConsPlusNormal"/>
        <w:jc w:val="center"/>
        <w:outlineLvl w:val="1"/>
        <w:rPr>
          <w:b/>
        </w:rPr>
      </w:pPr>
      <w:r w:rsidRPr="002F3731">
        <w:rPr>
          <w:b/>
        </w:rPr>
        <w:t>Глава 3. СБОР КРУПНОГАБАРИТНЫХ ОТХОДОВ</w:t>
      </w:r>
    </w:p>
    <w:p w:rsidR="002F3731" w:rsidRDefault="002F3731">
      <w:pPr>
        <w:pStyle w:val="ConsPlusNormal"/>
        <w:ind w:firstLine="540"/>
        <w:jc w:val="both"/>
      </w:pPr>
      <w:bookmarkStart w:id="3" w:name="P97"/>
      <w:bookmarkEnd w:id="3"/>
      <w:r>
        <w:t>23. В соответствии с договором на оказание услуг по обращению с ТКО в местах сбора и накопления ТКО складирование крупногабаритных отходов осуществляется потребителями следующими способами: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1) в бункеры, расположенные на контейнерных площадках;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2) на специальных площадках для складирования крупногабаритных отходов.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 xml:space="preserve">24. Вывоз крупногабаритных отходов обеспечивается региональным оператором, в том числе по заявкам потребителей, либо самостоятельно потребителями в места складирования крупногабаритных отходов, указанные в </w:t>
      </w:r>
      <w:hyperlink w:anchor="P97" w:history="1">
        <w:r>
          <w:rPr>
            <w:color w:val="0000FF"/>
          </w:rPr>
          <w:t>пункте 23</w:t>
        </w:r>
      </w:hyperlink>
      <w:r>
        <w:t xml:space="preserve"> настоящего Порядка.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Места расположения таких площадок определяются в соответствии с территориальной схемой и указываются в договоре на оказание услуг по обращению с ТКО, заключенном между региональным оператором и потребителем.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25. Крупногабаритные отходы должны располагаться в день вывоза в месте, определенном в договоре на оказание услуг по обращению с ТКО, заключенном между региональным оператором и потребителем.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26. Крупногабаритные отходы должны находиться в состоянии, не создающем угрозу для жизни и здоровья персонала оператора по обращению с отходами, в частности, предметы мебели должны быть в разобранном состоянии и не должны иметь торчащие гвозди или болты, а также создавать угрозу для целости и технической исправности мусоровозов. Предоставленные к вывозу крупногабаритные отходы не должны быть заполнены другими отходами.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27. Региональный оператор организует направление крупногабаритных отходов, подлежащих переработке, на объекты по обработке, обезвреживанию, утилизации отходов.</w:t>
      </w:r>
    </w:p>
    <w:p w:rsidR="002F3731" w:rsidRDefault="002F3731">
      <w:pPr>
        <w:pStyle w:val="ConsPlusNormal"/>
      </w:pPr>
    </w:p>
    <w:p w:rsidR="002F3731" w:rsidRPr="002F3731" w:rsidRDefault="002F3731" w:rsidP="002F3731">
      <w:pPr>
        <w:pStyle w:val="ConsPlusNormal"/>
        <w:jc w:val="center"/>
        <w:outlineLvl w:val="1"/>
        <w:rPr>
          <w:b/>
        </w:rPr>
      </w:pPr>
      <w:r w:rsidRPr="002F3731">
        <w:rPr>
          <w:b/>
        </w:rPr>
        <w:t>Глава 4. СБОР ТОВАРОВ И УПАКОВКИ,</w:t>
      </w:r>
      <w:r>
        <w:rPr>
          <w:b/>
        </w:rPr>
        <w:t xml:space="preserve"> </w:t>
      </w:r>
      <w:bookmarkStart w:id="4" w:name="_GoBack"/>
      <w:bookmarkEnd w:id="4"/>
      <w:r w:rsidRPr="002F3731">
        <w:rPr>
          <w:b/>
        </w:rPr>
        <w:t>УТРАТИВШИХ СВОИ ПОТРЕБИТЕЛЬСКИЕ СВОЙСТВА</w:t>
      </w:r>
    </w:p>
    <w:p w:rsidR="002F3731" w:rsidRDefault="002F3731">
      <w:pPr>
        <w:pStyle w:val="ConsPlusNormal"/>
      </w:pPr>
    </w:p>
    <w:p w:rsidR="002F3731" w:rsidRDefault="002F3731">
      <w:pPr>
        <w:pStyle w:val="ConsPlusNormal"/>
        <w:ind w:firstLine="540"/>
        <w:jc w:val="both"/>
      </w:pPr>
      <w:r>
        <w:t>28. Сбор отходов от использования товаров и упаковки, утративших свои потребительские свойства, входящих в состав ТКО, может осуществляться путем организации стационарных и мобильных пунктов приема отходов, в том числе через автоматические устройства для приема отходов.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 xml:space="preserve">29. Отходы от использования товаров и упаковки, утративших свои потребительские свойства, подлежащих утилизации, </w:t>
      </w:r>
      <w:hyperlink r:id="rId16" w:history="1">
        <w:r>
          <w:rPr>
            <w:color w:val="0000FF"/>
          </w:rPr>
          <w:t>перечень</w:t>
        </w:r>
      </w:hyperlink>
      <w:r>
        <w:t xml:space="preserve"> которых утвержден Распоряжением Правительства Российской Федерации от 24.09.2015 N 1886-р, могут передаваться региональным оператором для утилизации производителям и импортерам таких товаров, их объединениям и иным уполномоченным такими организациями лицам.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30. Производители и импортеры товаров, их объединения вправе использовать стационарные и (или) мобильные пункты приема отходов. Производители и импортеры товаров, их объединения вправе использовать отдельные контейнеры для сбора товаров, включая упаковку, подлежащих утилизации, расположенные на контейнерных площадках, исключительно по согласованию с региональным оператором.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31. Не допускается изъятие отходов от использования товаров и упаковки, утративших свои потребительские свойства, из контейнеров с целью передачи их для утилизации производителям и импортерам товаров, их объединениям.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32. Отходы от использования товаров и упаковки, подлежащих утилизации, принимаются: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1) в пунктах сбора, организованных региональным оператором, органами местного самоуправления муниципальных образований, расположенных на территории Свердловской области;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2) производителями и импортерами товаров, их объединениями;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3) предприятиями розничной торговли, осуществляющими продажу товаров.</w:t>
      </w:r>
    </w:p>
    <w:p w:rsidR="002F3731" w:rsidRDefault="002F3731">
      <w:pPr>
        <w:pStyle w:val="ConsPlusNormal"/>
        <w:spacing w:before="220"/>
        <w:ind w:firstLine="540"/>
        <w:jc w:val="both"/>
      </w:pPr>
      <w:r>
        <w:t>33. Не допускается размещать отходы от использования товаров и упаковки, утративших свои потребительские свойства, подлежащих утилизации, в контейнерах для сбора ТКО.</w:t>
      </w:r>
    </w:p>
    <w:sectPr w:rsidR="002F3731" w:rsidSect="002F3731">
      <w:type w:val="nextColumn"/>
      <w:pgSz w:w="11906" w:h="16838" w:code="9"/>
      <w:pgMar w:top="567" w:right="70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31"/>
    <w:rsid w:val="002F3731"/>
    <w:rsid w:val="00C91937"/>
    <w:rsid w:val="00FA602D"/>
    <w:rsid w:val="00FC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6082C-E5CA-44BC-943D-8205B0D2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3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37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4CB6EA89D220604A5BE30A7C737195416EC137CCA8E7CD000AF66E2301BD6CC24C1C3B88X1i9E" TargetMode="External"/><Relationship Id="rId13" Type="http://schemas.openxmlformats.org/officeDocument/2006/relationships/hyperlink" Target="consultantplus://offline/ref=D14CB6EA89D220604A5BE30A7C7371954161C235C9A9E7CD000AF66E2301BD6CC24C1C398A1AA048XFi9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14CB6EA89D220604A5BFD076A1F2F9F426D9B39CDAEE4935E5FF0397C51BB39820C1A6CC95EAD48F011CAC6X1iDE" TargetMode="External"/><Relationship Id="rId12" Type="http://schemas.openxmlformats.org/officeDocument/2006/relationships/hyperlink" Target="consultantplus://offline/ref=D14CB6EA89D220604A5BE30A7C7371954161C235C9A9E7CD000AF66E2301BD6CC24C1C398A1AA048XFi9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14CB6EA89D220604A5BE30A7C7371954167C330C8AEE7CD000AF66E2301BD6CC24C1C398A1AA049XFi9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14CB6EA89D220604A5BE30A7C7371954166C235CEA6E7CD000AF66E23X0i1E" TargetMode="External"/><Relationship Id="rId11" Type="http://schemas.openxmlformats.org/officeDocument/2006/relationships/hyperlink" Target="consultantplus://offline/ref=D14CB6EA89D220604A5BE30A7C7371954161C235C9A9E7CD000AF66E2301BD6CC24C1C398A1AA048XFi9E" TargetMode="External"/><Relationship Id="rId5" Type="http://schemas.openxmlformats.org/officeDocument/2006/relationships/hyperlink" Target="consultantplus://offline/ref=D14CB6EA89D220604A5BE30A7C7371954166CC3CC9ADE7CD000AF66E23X0i1E" TargetMode="External"/><Relationship Id="rId15" Type="http://schemas.openxmlformats.org/officeDocument/2006/relationships/hyperlink" Target="consultantplus://offline/ref=D14CB6EA89D220604A5BE30A7C7371954263C733CBA7E7CD000AF66E2301BD6CC24C1C398A1AA049XFi8E" TargetMode="External"/><Relationship Id="rId10" Type="http://schemas.openxmlformats.org/officeDocument/2006/relationships/hyperlink" Target="consultantplus://offline/ref=D14CB6EA89D220604A5BFD076A1F2F9F426D9B39CDAEE4935E5FF0397C51BB39820C1A6CC95EAD48F011CAC6X1iDE" TargetMode="External"/><Relationship Id="rId4" Type="http://schemas.openxmlformats.org/officeDocument/2006/relationships/hyperlink" Target="consultantplus://offline/ref=D14CB6EA89D220604A5BE30A7C737195416EC137CCA8E7CD000AF66E2301BD6CC24C1C3B88X1i9E" TargetMode="External"/><Relationship Id="rId9" Type="http://schemas.openxmlformats.org/officeDocument/2006/relationships/hyperlink" Target="consultantplus://offline/ref=D14CB6EA89D220604A5BE30A7C7371954166C235CEA6E7CD000AF66E23X0i1E" TargetMode="External"/><Relationship Id="rId14" Type="http://schemas.openxmlformats.org/officeDocument/2006/relationships/hyperlink" Target="consultantplus://offline/ref=D14CB6EA89D220604A5BE30A7C7371954161C235C9A9E7CD000AF66E2301BD6CC24C1C398A1AA048XFi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2864</Words>
  <Characters>16329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2018-01-11T04:34:00Z</dcterms:created>
  <dcterms:modified xsi:type="dcterms:W3CDTF">2018-01-11T04:37:00Z</dcterms:modified>
</cp:coreProperties>
</file>