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B9" w:rsidRPr="00C52CB1" w:rsidRDefault="001E3959" w:rsidP="008010B9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C52CB1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протоколом заседания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Комиссии по осуществлению оценки эффективности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организации и функционирования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Верхнесалдинского</w:t>
      </w: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</w:t>
      </w:r>
      <w:proofErr w:type="spellEnd"/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округа</w:t>
      </w:r>
    </w:p>
    <w:p w:rsidR="008010B9" w:rsidRPr="00C52CB1" w:rsidRDefault="008010B9" w:rsidP="008010B9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73CC4"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 </w:t>
      </w:r>
      <w:proofErr w:type="spellStart"/>
      <w:r w:rsidR="00273CC4" w:rsidRPr="00C52C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</w:p>
    <w:p w:rsidR="008010B9" w:rsidRPr="00C52CB1" w:rsidRDefault="00C52CB1" w:rsidP="008010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</w:t>
      </w:r>
      <w:r w:rsidR="00372F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D5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февраля</w:t>
      </w:r>
      <w:r w:rsidR="00B65D5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2021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Доклад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об организации системы внутреннего обеспечения </w:t>
      </w:r>
      <w:r w:rsidR="00C52CB1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соответствия требованиям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 в администрации </w:t>
      </w:r>
      <w:proofErr w:type="spellStart"/>
      <w:r w:rsid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 20</w:t>
      </w:r>
      <w:r w:rsid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     Общие положения.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4F52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Стратегии развития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конкуренции и антимонопольного регулирования в Российской Федерации на период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 2030 года, утвержденной протоколом Президиума ФАС России от 03.07.2019 № 6,</w:t>
      </w:r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целях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соблюдения антимонопольного законодательства и предупреждения его нарушения,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руководствуясь федеральными законами 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06 октября 2003 года № 131-ФЗ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«Об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общих принципах организации местного самоуправления в Российской Федерации»,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24E" w:rsidRP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26 июля 2006 года № 135-Ф3 «О защите конкуренции»,</w:t>
      </w:r>
      <w:r w:rsidR="00FE576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в администрации </w:t>
      </w:r>
      <w:proofErr w:type="spellStart"/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округа   постановлением </w:t>
      </w:r>
      <w:r w:rsidR="00FE576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FE576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FE576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76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округа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2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  </w:t>
      </w:r>
      <w:r w:rsidR="004F524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1247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(далее- антимонопольный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).</w:t>
      </w:r>
    </w:p>
    <w:p w:rsidR="008010B9" w:rsidRPr="00C52CB1" w:rsidRDefault="00082B2F" w:rsidP="00082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28.05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 1247 </w:t>
      </w:r>
      <w:r w:rsidRPr="00082B2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</w:t>
      </w:r>
      <w:r w:rsidRPr="00082B2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082B2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Pr="00082B2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(антимонопольном </w:t>
      </w:r>
      <w:proofErr w:type="spellStart"/>
      <w:r w:rsidRPr="00082B2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082B2F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)»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соответствии с которым   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округа реализуется антимонопольный </w:t>
      </w:r>
      <w:proofErr w:type="spellStart"/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Правительства РФ от 18.10.2018 №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2258-р. </w:t>
      </w:r>
    </w:p>
    <w:p w:rsidR="008010B9" w:rsidRPr="00C52CB1" w:rsidRDefault="008010B9" w:rsidP="003D408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     В соответствии с Положением об организации системы внутреннего обеспечения соответствия требованиям антимонопольного законодательства в </w:t>
      </w:r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</w:t>
      </w:r>
      <w:r w:rsidR="000362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округа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0362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твержденным </w:t>
      </w:r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остановлением </w:t>
      </w:r>
      <w:r w:rsidR="009B3361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="009B3361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28.05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 </w:t>
      </w:r>
      <w:r w:rsidR="007621B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1247</w:t>
      </w:r>
      <w:r w:rsidR="007621B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621B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функции</w:t>
      </w:r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связанные</w:t>
      </w:r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организацией и функционированием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осуществляет главный специалист по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внутреннему контролю группы по правопорядку, внутреннему контролю и</w:t>
      </w:r>
      <w:r w:rsid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мобилизационной работе а</w:t>
      </w:r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дминистрации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</w:t>
      </w:r>
      <w:r w:rsidR="003D4084" w:rsidRPr="003D40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- главный специалист)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С целью </w:t>
      </w:r>
      <w:r w:rsidR="0003620B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осуществления</w:t>
      </w:r>
      <w:r w:rsidR="000362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03620B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оценки </w:t>
      </w:r>
      <w:r w:rsidR="000362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эффективности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организации и </w:t>
      </w:r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функционирования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антимонопольного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создан Коллегиальный орган–Комиссия по осуществлению оценки </w:t>
      </w:r>
      <w:r w:rsidR="0021576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эффективности организации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функционирования в администрации </w:t>
      </w:r>
      <w:proofErr w:type="spellStart"/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округа антимонопольного </w:t>
      </w:r>
      <w:proofErr w:type="spellStart"/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состав 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 положение 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которой 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утверждены постановлением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округа от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  </w:t>
      </w:r>
      <w:r w:rsidR="004E46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28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 w:rsidR="004E46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 w:rsidR="004E46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1247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15768" w:rsidRPr="002157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http://v-salda.ru/administratsiya/antimonopoly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городского округа создан раздел «</w:t>
      </w:r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Антимонопольный </w:t>
      </w:r>
      <w:proofErr w:type="spellStart"/>
      <w:r w:rsidR="004E464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  <w:r w:rsidR="00466C43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</w:t>
      </w:r>
      <w:proofErr w:type="spellStart"/>
      <w:r w:rsidR="00466C43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в администрации </w:t>
      </w:r>
      <w:proofErr w:type="spellStart"/>
      <w:r w:rsidR="002157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2157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округа.</w:t>
      </w:r>
    </w:p>
    <w:p w:rsidR="00B93B22" w:rsidRPr="00C52CB1" w:rsidRDefault="00B93B22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6552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выявления 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оценки рисков нарушения </w:t>
      </w:r>
      <w:r w:rsidR="006552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</w:t>
      </w:r>
      <w:r w:rsidR="009B33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главным специалистом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отделами проводится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ряд мероприятий.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2.1. Анализ выявленных нарушений </w:t>
      </w:r>
      <w:r w:rsidR="00466C43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законодательства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в деятельности администрации за предыдущие три года.</w:t>
      </w:r>
    </w:p>
    <w:p w:rsidR="00B93B22" w:rsidRPr="00C52CB1" w:rsidRDefault="00B93B22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Во исполнение 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п.п.1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1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Положения об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организации системы внутреннего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обеспечении соответствия требованиям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округа (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далее- Положение об антимонопольном </w:t>
      </w:r>
      <w:proofErr w:type="spellStart"/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) 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главным спец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иалистом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 сбор и анализ информации о наличии нарушений антимонопольного законодательства в деятельности администрации </w:t>
      </w:r>
      <w:proofErr w:type="spellStart"/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 предыдущие три года.</w:t>
      </w:r>
    </w:p>
    <w:p w:rsidR="008010B9" w:rsidRPr="00C52CB1" w:rsidRDefault="008010B9" w:rsidP="00466C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466C43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результатам проведенного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анализа установлено следующее:</w:t>
      </w:r>
    </w:p>
    <w:p w:rsidR="008010B9" w:rsidRPr="00C52CB1" w:rsidRDefault="0003620B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нормативные правовые акты администрации, в которых УФАС России по </w:t>
      </w:r>
      <w:r w:rsidR="00466C4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Свердлов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ской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области выявлены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 в указанный период, в администрации </w:t>
      </w:r>
      <w:proofErr w:type="spellStart"/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="00541B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отсутствуют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8010B9" w:rsidRDefault="0003620B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 период 2018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-20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20 г.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У</w:t>
      </w:r>
      <w:r w:rsidR="00541B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правлением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ФАС </w:t>
      </w:r>
      <w:r w:rsidR="00541B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России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Свердлов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ской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области были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ыявлены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2366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нарушения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ьства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73CC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860FA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округа:</w:t>
      </w:r>
    </w:p>
    <w:p w:rsidR="00273CC4" w:rsidRDefault="00273CC4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B3361" w:rsidRDefault="009B3361" w:rsidP="00860FA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60FA4" w:rsidRDefault="00860FA4" w:rsidP="00860F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60FA4" w:rsidRDefault="00860FA4" w:rsidP="0086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нарушений антимонопольного законодательства, выявленных в</w:t>
      </w:r>
    </w:p>
    <w:p w:rsidR="00860FA4" w:rsidRDefault="00860FA4" w:rsidP="0086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3669D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spellEnd"/>
      <w:r w:rsidR="002366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период с 2018 года по 2020 год. </w:t>
      </w:r>
    </w:p>
    <w:p w:rsidR="00860FA4" w:rsidRDefault="00860FA4" w:rsidP="00860F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51"/>
        <w:gridCol w:w="2935"/>
        <w:gridCol w:w="2514"/>
      </w:tblGrid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AD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(нарушенная норма, суть нарушения)</w:t>
            </w:r>
          </w:p>
        </w:tc>
        <w:tc>
          <w:tcPr>
            <w:tcW w:w="2935" w:type="dxa"/>
          </w:tcPr>
          <w:p w:rsidR="00860FA4" w:rsidRPr="00926BAD" w:rsidRDefault="006C5F39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езультат рассмотрения нарушения и позиция контролирующего органа</w:t>
            </w:r>
          </w:p>
        </w:tc>
        <w:tc>
          <w:tcPr>
            <w:tcW w:w="2514" w:type="dxa"/>
          </w:tcPr>
          <w:p w:rsidR="00860FA4" w:rsidRPr="00926BAD" w:rsidRDefault="006C5F39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еры по устранению и недопущению повторения нарушения</w:t>
            </w:r>
          </w:p>
        </w:tc>
      </w:tr>
      <w:tr w:rsidR="00860FA4" w:rsidTr="006C5F39">
        <w:tc>
          <w:tcPr>
            <w:tcW w:w="445" w:type="dxa"/>
          </w:tcPr>
          <w:p w:rsidR="00860FA4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860FA4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67 АП/2018 по ч.1 ст.7.32.4 КоАП РФ от 17.07.2018 года (нарушение пп.4 п.21 ст. 39.11 ЗК РФ, выразившееся в не указании в извещении о проведении аукциона сведений о технических условиях подключения «технологического присоединения» объектов капитального строительства к сетям инж</w:t>
            </w:r>
            <w:r w:rsidR="006C5F39"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</w:tc>
        <w:tc>
          <w:tcPr>
            <w:tcW w:w="2935" w:type="dxa"/>
          </w:tcPr>
          <w:p w:rsidR="00860FA4" w:rsidRDefault="006C5F39" w:rsidP="0023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а Комитет по управлению имуществом администрации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наложено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взыскание-штраф 50000 рублей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860FA4" w:rsidRDefault="006C5F39" w:rsidP="0023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е предусмотрены в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 w:rsidR="00FE5763">
              <w:rPr>
                <w:rFonts w:ascii="Times New Roman" w:hAnsi="Times New Roman" w:cs="Times New Roman"/>
                <w:sz w:val="24"/>
                <w:szCs w:val="24"/>
              </w:rPr>
              <w:t>ликвидацией органа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-Комитета по управлению имуществом администрации </w:t>
            </w:r>
            <w:proofErr w:type="spellStart"/>
            <w:r w:rsidR="0023669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860FA4" w:rsidRPr="00926BAD" w:rsidRDefault="00860FA4" w:rsidP="0023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№066/04/7.32-1840/2020 по ч.4 ст.7.32 КоАП РФ (изменение условий контракта,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цен товаров, работ, услуг, если возможность изменения условий контракта не предусмотрена законодательством РФ о контрактной системе в сфере закупок). Контракт №110 от 25.10.2019 между администрацией </w:t>
            </w:r>
            <w:proofErr w:type="spellStart"/>
            <w:r w:rsidR="0023669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 «Рекламная студия Модерн» на приобретение наградной атрибутики. По условиям контракта оплата не более 30 дней с момента подписания документа о приемке. </w:t>
            </w:r>
            <w:r w:rsidR="0023669D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</w:t>
            </w:r>
            <w:r w:rsidRPr="0025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п.1 ч.1 ст.95 Закона о контрактной системе изменено существенное условие </w:t>
            </w:r>
            <w:r w:rsidRPr="00257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контракта, а именно срок оплаты заказчиком поставленного товара (27.11.2019 заключено </w:t>
            </w:r>
            <w:proofErr w:type="spellStart"/>
            <w:r w:rsidRPr="0025701B">
              <w:rPr>
                <w:rFonts w:ascii="Times New Roman" w:hAnsi="Times New Roman" w:cs="Times New Roman"/>
                <w:b/>
                <w:sz w:val="24"/>
                <w:szCs w:val="24"/>
              </w:rPr>
              <w:t>доп.соглашение</w:t>
            </w:r>
            <w:proofErr w:type="spellEnd"/>
            <w:r w:rsidRPr="0025701B">
              <w:rPr>
                <w:rFonts w:ascii="Times New Roman" w:hAnsi="Times New Roman" w:cs="Times New Roman"/>
                <w:b/>
                <w:sz w:val="24"/>
                <w:szCs w:val="24"/>
              </w:rPr>
              <w:t>, согласно п.3.3 оплата в течении 60 дней с момента</w:t>
            </w:r>
            <w:r w:rsidR="006C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подписания документа о приемке</w:t>
            </w:r>
          </w:p>
        </w:tc>
        <w:tc>
          <w:tcPr>
            <w:tcW w:w="2935" w:type="dxa"/>
          </w:tcPr>
          <w:p w:rsidR="00860FA4" w:rsidRPr="00926BAD" w:rsidRDefault="00860FA4" w:rsidP="0023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как первый заместитель главы администрации </w:t>
            </w:r>
            <w:proofErr w:type="spellStart"/>
            <w:r w:rsidR="0023669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финансам, осуществляющая функции контрактного управляющего привлечена к административной ответственности по ч.4 ст.7.32 КоАП РФ, мера нака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>зания-административный штраф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2514" w:type="dxa"/>
          </w:tcPr>
          <w:p w:rsidR="00860FA4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лица, координирующего профилактическую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Теплухин А.А.)</w:t>
            </w:r>
          </w:p>
          <w:p w:rsidR="00860FA4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2.систематическое изучение правоприменительной практики по нарушениям антимонопольного законодательства (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ФАС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r w:rsidR="00236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значимой информации до руководителей подразделений администрации </w:t>
            </w:r>
            <w:proofErr w:type="spellStart"/>
            <w:r w:rsidR="0023669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2366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FA4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антимонопольного законодательства и иных нормативных правовых актов, содержащих нормы конкурентного права</w:t>
            </w:r>
          </w:p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4.постоянный мониторинг и оценка результатов профилактических мероприятий</w:t>
            </w:r>
          </w:p>
        </w:tc>
      </w:tr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1" w:type="dxa"/>
          </w:tcPr>
          <w:p w:rsidR="00860FA4" w:rsidRPr="00926BAD" w:rsidRDefault="00860FA4" w:rsidP="009E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жалобе № 066/06/108-373/2020 ООО «ЕЭС-Гарант» о нарушении администрацией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закупки путем открытого конкурса для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ч.4, ч.1.4, ч.4.2 ст.7.30 КоАП РФ (</w:t>
            </w:r>
            <w:r w:rsidRPr="0046329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закупочной документации не соответствуют требованиям Закона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1. техническая ошибка при составлении проекта контракта в способе определения объема потребления энергетического ресурса (</w:t>
            </w:r>
            <w:r w:rsidRPr="00FC2B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ч.19 ст. 108 Закона о контрактной системе (далее Закон)-ч.4.2 ст.7.30 КоАП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 Изменение порядка оценки и сопоставления заявок по не стоимостному критерию оценки путем разъяснения положений конкурсной документации (</w:t>
            </w:r>
            <w:r w:rsidRPr="00DD234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ч.9 ст.54.3 Закона-ч.1.4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3.нарушение порядка оценки и сопоставления заявок по не стоимостному критерию, т.к. ук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азанное требование контракта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обусловлено объективными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п.8 ч.1 </w:t>
            </w:r>
            <w:r w:rsidRPr="00BC2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ст.54.3, ч.8 ст.32 Закона-ч.4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4. Нарушение в описании о требованиях к функциональным, техническим и качественным характеристикам, эксплуатационным характеристикам объекта закупки «техническое задание» закупочной документации (</w:t>
            </w:r>
            <w:r w:rsidRPr="00A606B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п.1.2 ч.1 ст.33, п.1 ч.1 ст.54.3 Закона-ч.4.2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в проекте контракта в п.5.1 предусмотрено изменение цены контракта (</w:t>
            </w:r>
            <w:r w:rsidRPr="00B8603B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ч.15 ст.108 Закона-ч.4.2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860FA4" w:rsidRPr="00926BAD" w:rsidRDefault="006C5F39" w:rsidP="00A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олжностные лица администрации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26F7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A426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по 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энергетике и транспорту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Замашной</w:t>
            </w:r>
            <w:proofErr w:type="spellEnd"/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Я.Н., заместитель Главы по 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социальной сфер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Вербах Е.С. привлечены к административной ответственности по ч.4, ч.1.4, ч.4.2 ст.7.30 КоАП РФ. (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Замашной</w:t>
            </w:r>
            <w:proofErr w:type="spellEnd"/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Я.Н. на момент поступления материалов уволен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763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FE5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лица, координирующего профилактическую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Теплухин А.А.)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2.систематическое изучение правоприменительной практики по нарушениям антимонопольного законодательства (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ФАС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доведение значимой информации до руководителей подразделений администрации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обязательных требований антимонопольного законодательства и иных нормативных правовых актов, содержащих нормы конкурентного права</w:t>
            </w:r>
          </w:p>
          <w:p w:rsidR="00860FA4" w:rsidRPr="00926BAD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4.постоянный мониторинг и оценка результатов профилактических мероприятий</w:t>
            </w:r>
          </w:p>
        </w:tc>
      </w:tr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№066/04/7.30-2769/2020 по ч.4.2 ст.7.30 КоАП РФ (утверждение документации об аукционе с нарушением требований, предусмотренных законодательством РФ о контрактной системе в сфере закупок. </w:t>
            </w:r>
            <w:r w:rsidRPr="000E363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по размещению аукционной документации при п</w:t>
            </w:r>
            <w:r w:rsidR="009E67F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E3637">
              <w:rPr>
                <w:rFonts w:ascii="Times New Roman" w:hAnsi="Times New Roman" w:cs="Times New Roman"/>
                <w:b/>
                <w:sz w:val="24"/>
                <w:szCs w:val="24"/>
              </w:rPr>
              <w:t>оведении электронного аукциона на строительство ЛЭП от коллективного сада №9 до Дома ритуальных услуг выразившееся в размещении в ЕИС локального сметного расчета, т.е. в аукционной документации содержится проектная документация</w:t>
            </w:r>
          </w:p>
        </w:tc>
        <w:tc>
          <w:tcPr>
            <w:tcW w:w="2935" w:type="dxa"/>
          </w:tcPr>
          <w:p w:rsidR="00860FA4" w:rsidRPr="00926BAD" w:rsidRDefault="00860FA4" w:rsidP="009E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первый заместитель главы администрации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финансам, как должностное лицо, утвердившее аукционную документацию, привлечена к административной ответственности по ч.4.3 ст.7.30 КоАП РФ, мера наказания-административный штраф 3000 рублей</w:t>
            </w:r>
          </w:p>
        </w:tc>
        <w:tc>
          <w:tcPr>
            <w:tcW w:w="2514" w:type="dxa"/>
          </w:tcPr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лица, координирующего профилактическую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Теплухин А.А.)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2.систематическое изучение правоприменительной практики по нарушениям антимонопольного законодательства (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ФАС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доведение значимой информации до руководителей подразделений </w:t>
            </w:r>
            <w:r w:rsidR="00FE5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5763" w:rsidRPr="00D110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обязательных требований антимонопольного законодательства и иных нормативных правовых актов, содержащих нормы конкурентного права</w:t>
            </w:r>
          </w:p>
          <w:p w:rsidR="00860FA4" w:rsidRPr="00926BAD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4.постоянный мониторинг и оценка результатов профилактических мероприятий</w:t>
            </w:r>
          </w:p>
        </w:tc>
      </w:tr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1" w:type="dxa"/>
          </w:tcPr>
          <w:p w:rsidR="00860FA4" w:rsidRPr="00926BAD" w:rsidRDefault="00860FA4" w:rsidP="009E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 повторной жалобе № 066/06/54.3-1320/2020 ООО «ЕЭС-Гарант» о нарушении администрацией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закупки путем открытого конкурса для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контракта:1. В проекте контракта указана противоречивая техническая информация «горение светильника» 1. (</w:t>
            </w:r>
            <w:r w:rsidRPr="00C27CDE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ч.3 ст.7 Закона-ч.4.2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2. Разъяснение положений конкурсной документации не содержат в себе предмета запроса по 2 вопросу о даче разъяснения положений конкурсной документации (</w:t>
            </w:r>
            <w:r w:rsidRPr="00C27CDE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ч.8 ст.54.3 Закона-ч1.4 ст.7.30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860FA4" w:rsidRPr="00926BAD" w:rsidRDefault="006C5F39" w:rsidP="00A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администрации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26F7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A426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-заместитель Главы по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жилищно-коммунальному хозяйству, энергетике и транспорту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Замашной</w:t>
            </w:r>
            <w:proofErr w:type="spellEnd"/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Я.Н.,   привлечен к административной ответственности по ч.1.4, ч.4.2 ст.7.30 КоАП РФ (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Замашной</w:t>
            </w:r>
            <w:proofErr w:type="spellEnd"/>
            <w:r w:rsidR="00860FA4">
              <w:rPr>
                <w:rFonts w:ascii="Times New Roman" w:hAnsi="Times New Roman" w:cs="Times New Roman"/>
                <w:sz w:val="24"/>
                <w:szCs w:val="24"/>
              </w:rPr>
              <w:t xml:space="preserve"> Я.Н. на момент поступления материалов уволен из администрации </w:t>
            </w:r>
            <w:proofErr w:type="spellStart"/>
            <w:r w:rsidR="00860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763">
              <w:rPr>
                <w:rFonts w:ascii="Times New Roman" w:hAnsi="Times New Roman" w:cs="Times New Roman"/>
                <w:sz w:val="24"/>
                <w:szCs w:val="24"/>
              </w:rPr>
              <w:t>ерхнесалдинского</w:t>
            </w:r>
            <w:proofErr w:type="spellEnd"/>
            <w:r w:rsidR="00FE57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60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лица, координирующего профилактическую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Теплухин А.А.)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2.систематическое изучение правоприменительной практики по нарушениям антимонопольного законодательства (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ФАС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доведение значимой информации до руководителей подразделений администрации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обязательных требований антимонопольного законодательства и иных нормативных правовых актов, содержащих нормы конкурентного права</w:t>
            </w:r>
          </w:p>
          <w:p w:rsidR="00860FA4" w:rsidRPr="00926BAD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4.постоянный мониторинг и оценка результатов профилактических мероприятий</w:t>
            </w:r>
          </w:p>
        </w:tc>
      </w:tr>
      <w:tr w:rsidR="00860FA4" w:rsidTr="006C5F39">
        <w:tc>
          <w:tcPr>
            <w:tcW w:w="44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860FA4" w:rsidRPr="00926BAD" w:rsidRDefault="00860FA4" w:rsidP="009E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№07-07/7/2019 по заявлению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Х.В.  о нарушениях антимонопольного законодательства администрацией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придворцовой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ДК им.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 Заключение соглашения между органами местного самоуправления-администрацией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Думой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хозяйствующими субъектами в составе группы лиц ООО «ВСМПО-Строитель» и ПАО «Корпорация ВСМПО-АВИСМА», приводящее к ограничению доступа иных хозяйствующих субъектов на рынок работ по капитальному строительству и ремонтно-строительным работам в сфере благоустройства общественных территорий (</w:t>
            </w:r>
            <w:r w:rsidRPr="003607D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п. 4 ст.16 Закона о защите конкуренции-ч.7 ст.14.32 КоАП РФ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935" w:type="dxa"/>
          </w:tcPr>
          <w:p w:rsidR="00860FA4" w:rsidRPr="00926BAD" w:rsidRDefault="00860FA4" w:rsidP="008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И.Г.-привлечение к административной ответственности по ч.7 ст. 14.32 КоАП РФ-о решении нет сведений, ООО «ВСМПО-Строитель» -привлечение к административной ответственности по ч.4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14.32 КоАП РФ-о решении нет сведений, директор  ООО «ВСМПО-Строитель»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П.О.-привлечение к административной ответственности по ч.4 ст.14.32 КоАП РФ-о решении нет сведений, ПАО «Корпорация ВСМПО-АВИСМА»-привлечение к административной ответственности по ч. 4 ст. 14.32 КоАП РФ-о решении нет сведений, генеральный директор ПАО «Корпорация ВСМПО-АВИСМА» Воеводин М.В. привлечение к административной ответственности по ч.4 ст.14.32 КоАП РФ-о решении нет сведений</w:t>
            </w:r>
          </w:p>
        </w:tc>
        <w:tc>
          <w:tcPr>
            <w:tcW w:w="2514" w:type="dxa"/>
          </w:tcPr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должностного лица, координирующего профилактическую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Теплухин А.А.)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2.систематическое изучение правоприменительной практики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 антимонопольного законодательства (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E6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ФАС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 доведение значимой информации до руководителей подразделений администрации </w:t>
            </w:r>
            <w:proofErr w:type="spellStart"/>
            <w:r w:rsidR="009E67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E67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C87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0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обязательных требований антимонопольного законодательства и иных нормативных правовых актов, содержащих нормы конкурентного права</w:t>
            </w:r>
          </w:p>
          <w:p w:rsidR="00860FA4" w:rsidRPr="00926BAD" w:rsidRDefault="00833C87" w:rsidP="008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4.постоянный мониторинг и оценка результатов профилактических мероприятий</w:t>
            </w:r>
          </w:p>
        </w:tc>
      </w:tr>
    </w:tbl>
    <w:p w:rsidR="00860FA4" w:rsidRPr="00C52CB1" w:rsidRDefault="00860FA4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2.2. Анализ </w:t>
      </w:r>
      <w:r w:rsidR="0003620B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действующих</w:t>
      </w:r>
      <w:r w:rsidR="00036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03620B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нормативных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FA4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правовых актов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860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860F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 на предмет их соответствия антимонопольному законодательству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B93B22" w:rsidRPr="00C52CB1" w:rsidRDefault="00B93B22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60FA4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 исполнение пункта   15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а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также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целях выявления и исключения рисков нарушения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 законодательства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проведения анализа нормативных правовых актов администрации на соответствие их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антимонопольному законодательству</w:t>
      </w:r>
      <w:r w:rsidR="00EC4B4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сформирован Перечень </w:t>
      </w:r>
      <w:r w:rsidR="0003620B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действующих </w:t>
      </w:r>
      <w:r w:rsidR="000362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нормативных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 (далее –Перечень).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Указанный Перечень с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приложением текстов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таких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актов размещен на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официальном </w:t>
      </w:r>
      <w:r w:rsidR="00860FA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сайте городского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округа в разд</w:t>
      </w:r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еле «Антимонопольный </w:t>
      </w:r>
      <w:proofErr w:type="spellStart"/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», для сбора з</w:t>
      </w:r>
      <w:r w:rsidR="009E67F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амечаний и предложений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Перечню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действующих нормативных правовых актов (далее-НПА) администрации </w:t>
      </w:r>
      <w:proofErr w:type="spellStart"/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 на предмет их влияния на конкуренцию.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итогам проведенного анализа   действующих НПА </w:t>
      </w:r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главным спец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иалистом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сделан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вывод об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их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соответствии антимонопольному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законодательству, а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также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</w:t>
      </w:r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 отсутствии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целесообразности внесения изменений в действующие НПА администрации.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2.3. Анализ проектов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нормативных </w:t>
      </w:r>
      <w:r w:rsidR="00C35A8E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правовых актов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C35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6118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 на предмет их соответствия антимонопольному законодательству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B93B22" w:rsidRPr="00C52CB1" w:rsidRDefault="00B93B22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обеспечения проведения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анализа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проекты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нормативно-правовых актов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18F0" w:rsidRP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6118F0" w:rsidRP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размещаются на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официальном сайте городского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округа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подразделе «</w:t>
      </w:r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Общественное обсуждение </w:t>
      </w:r>
      <w:r w:rsid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роект</w:t>
      </w:r>
      <w:r w:rsid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ов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нормативных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правовых актов администрации </w:t>
      </w:r>
      <w:proofErr w:type="spellStart"/>
      <w:r w:rsidR="00C35A8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округа </w:t>
      </w:r>
      <w:r w:rsidR="00271EB8" w:rsidRP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http://v-salda.ru/pravovye-akty/obshchestvennoe-obsuzhdenie-normativno-pravovykh-aktov/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C35A8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этом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соответствии с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п.п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1 п.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16 Положения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 антимонопольном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проекты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нормативно-правовых актов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размещаются вместе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 необходимым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обоснованием реализации предлагаемых решений, в том числе их влияния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 конкуренцию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03620B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Проведение </w:t>
      </w:r>
      <w:r w:rsidR="00036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систематической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оценки </w:t>
      </w:r>
      <w:r w:rsidR="0003620B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эффективности</w:t>
      </w:r>
      <w:r w:rsidR="00036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03620B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разработанных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и реализуемых мероприятий по снижению рисков нарушения </w:t>
      </w:r>
      <w:r w:rsidR="00271EB8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законодательства в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271E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3041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целях выявления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</w:t>
      </w:r>
      <w:r w:rsid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главным</w:t>
      </w:r>
      <w:r w:rsidR="008377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спец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иалистом</w:t>
      </w:r>
      <w:r w:rsidR="00271E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71EB8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осуществлен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ряд мероприятий, предусмотренных </w:t>
      </w:r>
      <w:r w:rsidR="008071B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Положением об антимонопольном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а именно: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18F0" w:rsidRP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6118F0" w:rsidRP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</w:p>
    <w:p w:rsidR="0091060C" w:rsidRDefault="008010B9" w:rsidP="009106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-проведены</w:t>
      </w:r>
      <w:r w:rsidR="00AD64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рабочие </w:t>
      </w:r>
      <w:r w:rsidR="00AD648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совещания</w:t>
      </w:r>
      <w:r w:rsidR="00AD64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</w:t>
      </w:r>
      <w:r w:rsidR="0036387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структурными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 подразделениями     с целью обсуждения и анализа результатов проводимой работы по выявлению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-рисков.</w:t>
      </w:r>
      <w:r w:rsidR="009106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93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106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   </w:t>
      </w:r>
      <w:r w:rsidR="00B93B22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результатам</w:t>
      </w:r>
      <w:r w:rsidR="00B93B2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B22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проведения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оценки рисков нарушения антимонопольного законодательства </w:t>
      </w:r>
      <w:r w:rsidR="0088583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главным спец</w:t>
      </w:r>
      <w:r w:rsidR="006118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иалистом</w:t>
      </w:r>
      <w:r w:rsidR="0088583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12B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составлена</w:t>
      </w:r>
      <w:r w:rsidR="003041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12B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Карта</w:t>
      </w:r>
      <w:r w:rsidR="0088583A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8583A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нарушения антимонопольного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8583A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на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20</w:t>
      </w:r>
      <w:r w:rsidR="0088583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21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год, а </w:t>
      </w:r>
      <w:r w:rsidR="0088583A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также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88583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AD648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91060C" w:rsidRPr="0091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22" w:rsidRPr="0091060C" w:rsidRDefault="00B93B22" w:rsidP="009106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60C" w:rsidRDefault="0091060C" w:rsidP="0091060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</w:t>
      </w:r>
    </w:p>
    <w:p w:rsidR="0091060C" w:rsidRDefault="0091060C" w:rsidP="0091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нарушений антимоноп</w:t>
      </w:r>
      <w:r w:rsidR="00AB2F7F">
        <w:rPr>
          <w:rFonts w:ascii="Times New Roman" w:hAnsi="Times New Roman" w:cs="Times New Roman"/>
          <w:sz w:val="28"/>
          <w:szCs w:val="28"/>
        </w:rPr>
        <w:t>ольного законодательства на 2021-2022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060C" w:rsidRDefault="0091060C" w:rsidP="009106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2704"/>
        <w:gridCol w:w="1716"/>
        <w:gridCol w:w="1959"/>
      </w:tblGrid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270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причин и (условий) возникновения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1716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функция (муниципальная услуга), при выполнении (предоставлении) которой может возникнуть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1959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подразделения, в деятельности которого может возникнуть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270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</w:t>
            </w:r>
          </w:p>
        </w:tc>
        <w:tc>
          <w:tcPr>
            <w:tcW w:w="1716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</w:t>
            </w:r>
          </w:p>
        </w:tc>
        <w:tc>
          <w:tcPr>
            <w:tcW w:w="1959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6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наличия в действующих муниципальных нормативно-правовых актах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положений, которые приводят и (или) могут привести к недопущению, ограничению или устранению конкуренции на рынках товаров, работ, 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proofErr w:type="spellStart"/>
            <w:r w:rsid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2220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регламента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нормативно-правовых актов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2.Отсутствие (недостаточность) знаний в области антимонопольного законодательства у сотрудников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3.Отсутствие методических документов (рекомендаций, разъяснений) по осуществлению анализа действующих муниципальных нормативно-правовых актов на предмет выявления рисков нарушения антимонопольного законодательства.</w:t>
            </w:r>
          </w:p>
          <w:p w:rsidR="0091060C" w:rsidRPr="00E02220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4.Высокая загруженность сотрудников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выполняемой в соответствии с должностными инструкциями.</w:t>
            </w:r>
          </w:p>
        </w:tc>
        <w:tc>
          <w:tcPr>
            <w:tcW w:w="1716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муниципальных нормативно-правовых актов сотрудниками структурных подразделений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направлениям деятельности</w:t>
            </w:r>
          </w:p>
        </w:tc>
        <w:tc>
          <w:tcPr>
            <w:tcW w:w="1959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наличия в проектах муниципальных нормативно-правовых актах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положений, которые приводят и (или) могут привести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недопущению, ограничению или устранению конкуренции на рынках товаров, работ, услуг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E02220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регламента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нормативно-правовых актов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2.Отсутствие (недостаточность) знаний в области антимонопольного законодательства у сотрудников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3.Отсутствие методических документов (рекомендаций, разъяснений) по осуществлению анализа действующих муниципальных нормативно-правовых актов на предмет выявления рисков нарушения антимонопольного законодательства.</w:t>
            </w:r>
          </w:p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4.Высокая загруженность сотрудников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выполняемой в соответствии с должностными инструкциями.</w:t>
            </w:r>
          </w:p>
        </w:tc>
        <w:tc>
          <w:tcPr>
            <w:tcW w:w="1716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муниципальных нормативно-правовых актов сотрудниками структурных подразделений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направлениям деятельности</w:t>
            </w:r>
          </w:p>
        </w:tc>
        <w:tc>
          <w:tcPr>
            <w:tcW w:w="1959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предоставлении муниципальной поддержки (финансовой, имущественной, консультационной)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1.Установление требований к хозяйствующим субъектам, не предусмотренных действующим законодательством.</w:t>
            </w:r>
          </w:p>
          <w:p w:rsidR="0091060C" w:rsidRDefault="00C91331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2.Недостаточное</w:t>
            </w:r>
            <w:r w:rsidR="0091060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хозяйствующих субъектов о возможности и условиях получения муниципальной поддержки.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3.Возникновение конфликта интересов при исполнении сотрудниками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4.Отсутствие (недостаточность) знаний в области антимонопольного законодательства у сотрудников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5.Отстутствие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муниципальной поддержки (преференций), о мерах ответственности за нарушение антимонопольного законодательства.</w:t>
            </w:r>
          </w:p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Высокая загруженность сотрудников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выполняемой в соответствии с должностными инструкциями.</w:t>
            </w:r>
          </w:p>
        </w:tc>
        <w:tc>
          <w:tcPr>
            <w:tcW w:w="1716" w:type="dxa"/>
          </w:tcPr>
          <w:p w:rsidR="0091060C" w:rsidRPr="00B04DFC" w:rsidRDefault="0091060C" w:rsidP="009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сотрудниками структурных подразделений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поддержки (преференций) хозяйствующим субъектам</w:t>
            </w:r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933271" w:rsidRPr="006118F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933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выполнении функции муниципального контроля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(недостаточность) знаний в области антимонопольного законодательства у сотрудников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применения норм права.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Отсутствие (недостаточность) разъяснений антимонопольного органа по вопросам применения антимонопольного законодательства при выполнении функции муниципального контроля, о мерах ответственности за нарушение антимонопольного законодательства.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Высокая загруженность сотрудников администрации</w:t>
            </w:r>
            <w:r w:rsidR="006118F0" w:rsidRPr="006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9B3361">
              <w:rPr>
                <w:rFonts w:ascii="Times New Roman" w:hAnsi="Times New Roman" w:cs="Times New Roman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выполняемой в соответствии с должностными инструкциями.</w:t>
            </w:r>
          </w:p>
          <w:p w:rsidR="0091060C" w:rsidRPr="00B21F6F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1060C" w:rsidRPr="00B04DFC" w:rsidRDefault="0091060C" w:rsidP="0061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сотрудниками структурных подразделений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функций муниципального контроля.</w:t>
            </w:r>
          </w:p>
        </w:tc>
        <w:tc>
          <w:tcPr>
            <w:tcW w:w="1959" w:type="dxa"/>
          </w:tcPr>
          <w:p w:rsidR="0091060C" w:rsidRPr="00B04DFC" w:rsidRDefault="0091060C" w:rsidP="00611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осуществляющие муниципальный контроль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1.Несоблюдение регламента предоставления муниципальной услуги.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2.Установление требований к получателям муниципальной услуги, не предусмотренных действующим законодательством.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Отсутствие (недостаточность) знаний в области антимонопольного законодательства у сотрудников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применения норм права.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услуг, о мерах ответственности за нарушение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  <w:r w:rsidR="006118F0">
              <w:rPr>
                <w:rFonts w:ascii="Times New Roman" w:hAnsi="Times New Roman" w:cs="Times New Roman"/>
                <w:sz w:val="20"/>
                <w:szCs w:val="20"/>
              </w:rPr>
              <w:t>тимонопольного законодательства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Возникновение конфликта интересов при исполнении сотрудниками администрации </w:t>
            </w:r>
            <w:proofErr w:type="spellStart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6118F0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</w:t>
            </w:r>
          </w:p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Высокая загруженность сотрудников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выполняемой в соответствии с должностными инструкциями</w:t>
            </w:r>
          </w:p>
        </w:tc>
        <w:tc>
          <w:tcPr>
            <w:tcW w:w="1716" w:type="dxa"/>
          </w:tcPr>
          <w:p w:rsidR="0091060C" w:rsidRPr="00B04DFC" w:rsidRDefault="0091060C" w:rsidP="009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сотрудниками структурных подразделений администрации </w:t>
            </w:r>
            <w:proofErr w:type="spellStart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959" w:type="dxa"/>
          </w:tcPr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осуществляющие предоставление муниципальных услуг.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анти конкурентные соглашения, 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документации, закупочных процедур, нарушения порядка и сроков размещения документации о закупочных процедурах, нарушения порядка определения победителя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закупочных процедур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(недостаточность) знаний в области антимонопольного законодательства у сотрудников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применения норм права.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Возникновение конфликта интересов при исполнении сотрудниками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обязанностей.</w:t>
            </w:r>
          </w:p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Высокая загруженность сотрудников администрации</w:t>
            </w:r>
            <w:r w:rsidR="00C91331" w:rsidRPr="00C9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C91331">
              <w:rPr>
                <w:rFonts w:ascii="Times New Roman" w:hAnsi="Times New Roman" w:cs="Times New Roman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выполняемой в соответствии с должностными инструкциями</w:t>
            </w:r>
          </w:p>
        </w:tc>
        <w:tc>
          <w:tcPr>
            <w:tcW w:w="1716" w:type="dxa"/>
          </w:tcPr>
          <w:p w:rsidR="0091060C" w:rsidRPr="00B04DFC" w:rsidRDefault="0091060C" w:rsidP="009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сотрудниками структурных подразделений администрации</w:t>
            </w:r>
            <w:r w:rsidR="00C91331" w:rsidRPr="00C9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C91331">
              <w:rPr>
                <w:rFonts w:ascii="Times New Roman" w:hAnsi="Times New Roman" w:cs="Times New Roman"/>
                <w:sz w:val="20"/>
                <w:szCs w:val="20"/>
              </w:rPr>
              <w:t xml:space="preserve"> закупочных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процедур. Материально-техническое обеспечение деятельности администрации </w:t>
            </w:r>
            <w:proofErr w:type="spellStart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9B3361" w:rsidRPr="006118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59" w:type="dxa"/>
          </w:tcPr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91060C" w:rsidTr="00C91331">
        <w:tc>
          <w:tcPr>
            <w:tcW w:w="421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060C" w:rsidRPr="00B04DF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1984" w:type="dxa"/>
          </w:tcPr>
          <w:p w:rsidR="0091060C" w:rsidRPr="00B04DFC" w:rsidRDefault="0091060C" w:rsidP="00F5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заключении договоров аренды, безвозмездного пользования муниципальным имуществом</w:t>
            </w:r>
            <w:r w:rsidR="00F50D44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0D44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F50D44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F50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договоров, предусматривающих переход права владения и (или) пользования в отношении муниципального имущества </w:t>
            </w:r>
            <w:proofErr w:type="spellStart"/>
            <w:r w:rsidR="00F50D44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F50D44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 имущества без торгов, </w:t>
            </w:r>
            <w:r w:rsidR="00C91331">
              <w:rPr>
                <w:rFonts w:ascii="Times New Roman" w:hAnsi="Times New Roman" w:cs="Times New Roman"/>
                <w:sz w:val="20"/>
                <w:szCs w:val="20"/>
              </w:rPr>
              <w:t>пролонгированные договоры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r w:rsidR="00C9133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конкурентных процедур</w:t>
            </w:r>
          </w:p>
        </w:tc>
        <w:tc>
          <w:tcPr>
            <w:tcW w:w="2704" w:type="dxa"/>
          </w:tcPr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(недостаточность) знаний в области антимонопольного законодательства у сотрудников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применения норм права.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Возникновение конфликта интересов при исполнении сотрудниками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обязанностей.</w:t>
            </w:r>
          </w:p>
          <w:p w:rsidR="0091060C" w:rsidRDefault="0091060C" w:rsidP="00D7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(недостаточность) разъяснений антимонопольного органа о мерах ответственности за нарушение антимонопольного законодательства.</w:t>
            </w:r>
          </w:p>
          <w:p w:rsidR="004F3D6B" w:rsidRPr="00B04DFC" w:rsidRDefault="004F3D6B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Высокая загруженность сотрудников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работой, выполняемой в соответствии с должностными инструкциями</w:t>
            </w:r>
          </w:p>
        </w:tc>
        <w:tc>
          <w:tcPr>
            <w:tcW w:w="1716" w:type="dxa"/>
          </w:tcPr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сотрудниками структурных подразделений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аренды, безвозмездного пользования муниципальным имуществом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иных договоров, предусматривающих переход права владения и (или) пользования в отношении муниципального имущества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59" w:type="dxa"/>
          </w:tcPr>
          <w:p w:rsidR="0091060C" w:rsidRPr="00B04DFC" w:rsidRDefault="0091060C" w:rsidP="00C9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91331" w:rsidRPr="00C913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выполняющие функции по заключению договоров в отношении муниципального имущества</w:t>
            </w:r>
          </w:p>
        </w:tc>
      </w:tr>
    </w:tbl>
    <w:p w:rsidR="00B33D7E" w:rsidRPr="00C52CB1" w:rsidRDefault="00B33D7E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AD6484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2.5. Мероприятия по снижению рисков нарушения антимонопольного законодательства.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снижения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нарушения антимонопольного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</w:t>
      </w:r>
      <w:r w:rsidR="0066218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главным спец</w:t>
      </w:r>
      <w:r w:rsidR="00C9133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иалистом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основе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Карты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разработан План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мероприятий (дорожная карта) по снижению рисков нарушения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 законодательства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администрации </w:t>
      </w:r>
      <w:proofErr w:type="spellStart"/>
      <w:r w:rsidR="0066218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66218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округа на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66218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20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год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(далее – </w:t>
      </w:r>
      <w:r w:rsidR="0066218D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План мероприятий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).</w:t>
      </w:r>
    </w:p>
    <w:p w:rsidR="008010B9" w:rsidRPr="00C52CB1" w:rsidRDefault="0066218D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План мероприятий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утвержден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распоряжением №135-0 от 02.07.2020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 размещен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BE3997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существлено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ознакомление муниципальных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служащих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 Постановлением от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.2019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1247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«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 системе внутреннего обеспечения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соответствия требованиям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 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10B9" w:rsidRPr="00C52CB1" w:rsidRDefault="008010B9" w:rsidP="00BE39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сфере антимонопольного законодательства 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принято участие в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ии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рабоче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</w:t>
      </w:r>
      <w:r w:rsidR="00C9133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совещания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использованием 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системы 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ВКС, организованного 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отделом </w:t>
      </w:r>
      <w:r w:rsidR="004C7CD5" w:rsidRP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анализа</w:t>
      </w:r>
      <w:r w:rsidR="00BE3997" w:rsidRP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развития предпринимательства и конкуренции Министерства </w:t>
      </w:r>
      <w:r w:rsidR="00BE3997" w:rsidRP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инвестиций и развития Свердловской области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вопрос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ам организации</w:t>
      </w:r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BE399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органах местного самоуправления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541B0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исключения</w:t>
      </w:r>
      <w:r w:rsidR="00541B0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541B0E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положений</w:t>
      </w:r>
      <w:r w:rsidR="00783B9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противоречащих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нормам антимонопольного законодательства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стадии разработки проектов </w:t>
      </w:r>
      <w:r w:rsidR="00273CC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НПА, договоров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соглашений, уполномоченным подразделением (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юридическим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отдел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B93B2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1E3959" w:rsidRPr="00C52CB1" w:rsidRDefault="001E395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Мероприятия, согласно плана мероприятий по снижению рисков нарушения антимонопольного законодательства 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округа, выполнены в полном объеме.</w:t>
      </w:r>
    </w:p>
    <w:p w:rsidR="008010B9" w:rsidRPr="00C52CB1" w:rsidRDefault="004C7CD5" w:rsidP="004C7C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AD6484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 эффективности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AD6484"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функционирования в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4C7C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C7C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913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  антимонопольного </w:t>
      </w:r>
      <w:proofErr w:type="spellStart"/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Pr="00C52CB1" w:rsidRDefault="004C7CD5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r w:rsidR="00A274EC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Методике расчета</w:t>
      </w:r>
      <w:r w:rsidR="00A274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ключевых показателей эффективности функционирования, антимонопольного </w:t>
      </w:r>
      <w:proofErr w:type="spellStart"/>
      <w:r w:rsidR="00A274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A274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ключевыми показателями эффективности антимонопольного </w:t>
      </w:r>
      <w:proofErr w:type="spellStart"/>
      <w:r w:rsidR="00AD648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AD648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AD648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="00AD6484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B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   являются: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1) коэффициент снижения количества нарушений антимонопольного законодательства со стороны администрации</w:t>
      </w:r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(единиц)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(по сравнению с 201</w:t>
      </w:r>
      <w:r w:rsidR="008D18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годом);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2) доля проектов нормативных правовых актов администрации, в которых выявлены риски нарушения антимонопольного законодательства</w:t>
      </w:r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(единиц)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3) доля нормативных правовых актов администрации, в которых выявлены риски нарушения антимонопольного законодательства</w:t>
      </w:r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(единиц)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9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(по сравнению с 2019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годом) рассчитывается по формуле: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186132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noProof/>
            <w:color w:val="222222"/>
            <w:sz w:val="28"/>
            <w:szCs w:val="28"/>
            <w:bdr w:val="none" w:sz="0" w:space="0" w:color="auto" w:frame="1"/>
            <w:lang w:eastAsia="ru-RU"/>
          </w:rPr>
          <m:t>КСН=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m:t>КН2019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m:t>КНоп</m:t>
            </m:r>
          </m:den>
        </m:f>
      </m:oMath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t xml:space="preserve">  ,</w:t>
      </w:r>
      <w:r w:rsidR="00C81F45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t xml:space="preserve"> где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КСН - коэффициент снижения количества нарушений антимонопольного законодательства со стороны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сравнению с 201</w:t>
      </w:r>
      <w:r w:rsidR="00C81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годом;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КН</w:t>
      </w:r>
      <w:r w:rsidR="001861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vertAlign w:val="subscript"/>
          <w:lang w:eastAsia="ru-RU"/>
        </w:rPr>
        <w:t>2019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201</w:t>
      </w:r>
      <w:r w:rsidR="00C81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году;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КНоп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отчетном периоде.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 нарушением антимонопольного законодательства со стороны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понимаются: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-возбужденные антимонопольным органом в отношении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антимонопольные дела;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-выданные антимонопольным органом </w:t>
      </w:r>
      <w:r w:rsidR="000C724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0C7249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0C724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-направленные антимонопольным органом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6F5429" w:rsidRPr="00C90017" w:rsidRDefault="006F5429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2019 году в отношении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 Управлением ФАС России по Свердловской области было возбуждено </w:t>
      </w:r>
      <w:r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1 дело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за нарушения норм антимонопольного законодательства, в 2020 </w:t>
      </w:r>
      <w:r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4 дела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таким образом, согласно формуле расчета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фактическое значение ключевого показателя эффективности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КСН составил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0,25</w:t>
      </w:r>
      <w:r w:rsidR="00557D0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(ключевой показатель=0).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Доля проектов нормативных правовых актов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которых выявлены риски нарушения антимонопольного законодательства, рассчитывается по формуле: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5DA6BD" wp14:editId="65D26A8A">
            <wp:extent cx="1066800" cy="393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где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Дпнпа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-доля проектов нормативных правовых актов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6F5429" w:rsidRPr="00C90017" w:rsidRDefault="00C90017" w:rsidP="003506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Кпнпа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-количество проектов нормативных правовых актов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которых данным органом выявлены риски нарушения антимонопольного законо</w:t>
      </w:r>
      <w:r w:rsidR="003506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дательства (в отчетном периоде);</w:t>
      </w:r>
    </w:p>
    <w:p w:rsid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КНоп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-количество </w:t>
      </w:r>
      <w:r w:rsidR="00A11B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проектов нормативных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правовых актов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35062E" w:rsidRPr="00C90017" w:rsidRDefault="0035062E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2020 году в проектах нормативно правовых актов администрацией и антимонопольным органом риски нарушения антимонопольного законодательства не выявлялись. Таким образом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F76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согласно формуле расчета, </w:t>
      </w:r>
      <w:r w:rsidR="007F21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фактическое значение ключевого показателя эффективности </w:t>
      </w:r>
      <w:proofErr w:type="spellStart"/>
      <w:r w:rsidR="00F76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Дпнпа</w:t>
      </w:r>
      <w:proofErr w:type="spellEnd"/>
      <w:r w:rsidR="00F76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отчетном периоде </w:t>
      </w:r>
      <w:r w:rsidR="00995E2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составляет</w:t>
      </w:r>
      <w:r w:rsidR="00F76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7F1"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0</w:t>
      </w:r>
      <w:r w:rsidR="00152B6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(ключевой показатель = 0)</w:t>
      </w:r>
      <w:r w:rsidR="00F767F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Доля нормативных правовых актов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которых выявлены риски нарушения антимонопольного законодательства, рассчитывается по формуле: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90017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4E0DB8" wp14:editId="517120A9">
            <wp:extent cx="939800" cy="393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где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Днпа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-доля нормативных правовых актов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C90017" w:rsidRP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Кпнпа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-количество нормативных правовых актов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C90017" w:rsidRDefault="00C90017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КНоп</w:t>
      </w:r>
      <w:proofErr w:type="spellEnd"/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-количество нормативных правовых актов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C900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11B83" w:rsidRDefault="00A11B83" w:rsidP="00C90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2020 году в нормативно правовых актах администрацией и антимонопольным органом риски нарушения антимонопольного законодательства не выявлялись. Таким образом, согласно формуле расчета, фактическое значение ключевого показателя эффективности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Дпнпа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отчетном периоде </w:t>
      </w:r>
      <w:r w:rsidR="00995E2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0</w:t>
      </w:r>
      <w:r w:rsidR="00152B6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(ключевой показатель = 0)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F6BC9" w:rsidRDefault="006F6BC9" w:rsidP="006F6B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Согласно Методике расчета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ключевых показателей эффективности функционирования, антимонопольного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ключевыми показателями эффективности</w:t>
      </w:r>
      <w:r w:rsid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(КПЭ)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уполномоченного подразделения (должностного лица) в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   являются:</w:t>
      </w: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доля сотрудников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(единиц)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Доля сотрудников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рассчитывается по формуле:</w:t>
      </w: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053226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6648E0" wp14:editId="5F068414">
            <wp:extent cx="990600" cy="40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где</w:t>
      </w: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ДСо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- доля сотрудников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053226" w:rsidRPr="00053226" w:rsidRDefault="00053226" w:rsidP="000532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КСо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-количество сотрудников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8010B9" w:rsidRDefault="00053226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КСобщ</w:t>
      </w:r>
      <w:proofErr w:type="spellEnd"/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-общее</w:t>
      </w:r>
      <w:r w:rsidR="009E651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количество сотрудников </w:t>
      </w:r>
      <w:r w:rsidR="009E6511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9E651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E6511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0532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B01A9C" w:rsidRDefault="00B01A9C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Согласно штатного расписания, количество сотрудников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городского округа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чьи трудовые (должностные) обязанности предусматривают выполнение функций, связанных с риском нарушения антимонопольного законодательства, составляет</w:t>
      </w:r>
      <w:r w:rsidR="005236E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53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сотрудника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Обучающие мероприятия 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(ознакомление с лучшими практиками регионов по внедрению антимонопольного </w:t>
      </w:r>
      <w:proofErr w:type="spellStart"/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) 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антимонопольному законодательству и антимонопольному </w:t>
      </w:r>
      <w:proofErr w:type="spellStart"/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были проведены с 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53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сотрудниками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Также дополнительное обучение в сфере </w:t>
      </w:r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закупок для муниципальных нужд</w:t>
      </w:r>
      <w:r w:rsidR="002A67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9C43F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рамках повышения квалификации прошли, начиная с 2017 года 15 человек (2017-6 человек, 2018-4 человека, 2019-3 человека, 2020-2 человека).</w:t>
      </w:r>
    </w:p>
    <w:p w:rsidR="009C43FF" w:rsidRPr="00C52CB1" w:rsidRDefault="009C43FF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Таким образом, согласно формуле расчета, фактическое значение ключевого показателя эффективности</w:t>
      </w:r>
      <w:r w:rsidR="00995E2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95E2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ДСо</w:t>
      </w:r>
      <w:proofErr w:type="spellEnd"/>
      <w:r w:rsidR="00995E2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составляет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1D8A" w:rsidRPr="006A364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0</w:t>
      </w:r>
      <w:r w:rsidR="00152B64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(ключевой показатель = 0)</w:t>
      </w:r>
      <w:r w:rsidR="002B1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8010B9" w:rsidRDefault="008010B9" w:rsidP="008010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Выводы:</w:t>
      </w:r>
    </w:p>
    <w:p w:rsidR="00B93B22" w:rsidRPr="00C52CB1" w:rsidRDefault="00B93B22" w:rsidP="008010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настоящее время в администрации </w:t>
      </w:r>
      <w:proofErr w:type="spellStart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городского округа осуществлено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внедрение системы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внутреннего обеспечения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соответствия требованиям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законодательства.</w:t>
      </w:r>
    </w:p>
    <w:p w:rsidR="008010B9" w:rsidRPr="00C52CB1" w:rsidRDefault="008010B9" w:rsidP="0080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           Разработаны нормативные акты администрации в сфере антимонопольного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» на официальном сайте </w:t>
      </w:r>
      <w:proofErr w:type="spellStart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внедрения антимонопольного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Осуществлено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ознакомление муниципальных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служащих с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антимонопольным </w:t>
      </w:r>
      <w:proofErr w:type="spellStart"/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комплаенсом</w:t>
      </w:r>
      <w:proofErr w:type="spellEnd"/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010B9" w:rsidRPr="00C52CB1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Карта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нарушения антимонопольного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законодательства.</w:t>
      </w:r>
    </w:p>
    <w:p w:rsidR="008010B9" w:rsidRDefault="008010B9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снижения рисков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разработан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План мероприятий («дорожная карта») по 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снижению рисков нарушения антимонопольного </w:t>
      </w:r>
      <w:r w:rsidR="004C7CD5"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 в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Верхнесалдинского</w:t>
      </w:r>
      <w:proofErr w:type="spellEnd"/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9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городского округа на 2020-2021</w:t>
      </w:r>
      <w:r w:rsidRPr="00C52CB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C7CD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B1D8A" w:rsidRDefault="002B1D8A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B1D8A" w:rsidRDefault="002B1D8A" w:rsidP="008010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B1D8A" w:rsidRPr="00C52CB1" w:rsidRDefault="002B1D8A" w:rsidP="002B1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Гл. специалист по внутреннему контролю                                     А.А. Теплухин</w:t>
      </w:r>
    </w:p>
    <w:p w:rsidR="00311CCA" w:rsidRPr="00C52CB1" w:rsidRDefault="00311CCA">
      <w:pPr>
        <w:rPr>
          <w:rFonts w:ascii="Times New Roman" w:hAnsi="Times New Roman" w:cs="Times New Roman"/>
          <w:sz w:val="28"/>
          <w:szCs w:val="28"/>
        </w:rPr>
      </w:pPr>
    </w:p>
    <w:sectPr w:rsidR="00311CCA" w:rsidRPr="00C5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9"/>
    <w:rsid w:val="0003620B"/>
    <w:rsid w:val="00053226"/>
    <w:rsid w:val="00054D6A"/>
    <w:rsid w:val="00082B2F"/>
    <w:rsid w:val="000C7249"/>
    <w:rsid w:val="00152B64"/>
    <w:rsid w:val="00186132"/>
    <w:rsid w:val="001C7A43"/>
    <w:rsid w:val="001E3959"/>
    <w:rsid w:val="00215768"/>
    <w:rsid w:val="0023669D"/>
    <w:rsid w:val="00271EB8"/>
    <w:rsid w:val="00273CC4"/>
    <w:rsid w:val="00276D8C"/>
    <w:rsid w:val="002911A1"/>
    <w:rsid w:val="002A67D2"/>
    <w:rsid w:val="002B1D8A"/>
    <w:rsid w:val="0030412B"/>
    <w:rsid w:val="00311CCA"/>
    <w:rsid w:val="0035062E"/>
    <w:rsid w:val="0036387D"/>
    <w:rsid w:val="00372FF6"/>
    <w:rsid w:val="00394F9D"/>
    <w:rsid w:val="003D4084"/>
    <w:rsid w:val="003D6DA8"/>
    <w:rsid w:val="00412698"/>
    <w:rsid w:val="00423E1C"/>
    <w:rsid w:val="00466C43"/>
    <w:rsid w:val="004C7CD5"/>
    <w:rsid w:val="004D428A"/>
    <w:rsid w:val="004E4645"/>
    <w:rsid w:val="004F3D6B"/>
    <w:rsid w:val="004F524E"/>
    <w:rsid w:val="005236E3"/>
    <w:rsid w:val="00534D12"/>
    <w:rsid w:val="00541B0E"/>
    <w:rsid w:val="00557D0C"/>
    <w:rsid w:val="006118F0"/>
    <w:rsid w:val="00635091"/>
    <w:rsid w:val="00654940"/>
    <w:rsid w:val="006552A4"/>
    <w:rsid w:val="0066218D"/>
    <w:rsid w:val="006A3641"/>
    <w:rsid w:val="006C2264"/>
    <w:rsid w:val="006C5F39"/>
    <w:rsid w:val="006F5429"/>
    <w:rsid w:val="006F6BC9"/>
    <w:rsid w:val="007621B4"/>
    <w:rsid w:val="00783B98"/>
    <w:rsid w:val="007D561E"/>
    <w:rsid w:val="007D6C89"/>
    <w:rsid w:val="007F21F1"/>
    <w:rsid w:val="008010B9"/>
    <w:rsid w:val="008071B4"/>
    <w:rsid w:val="00833C87"/>
    <w:rsid w:val="00837770"/>
    <w:rsid w:val="00860FA4"/>
    <w:rsid w:val="0088583A"/>
    <w:rsid w:val="008D18E7"/>
    <w:rsid w:val="008F52C9"/>
    <w:rsid w:val="0091060C"/>
    <w:rsid w:val="00933271"/>
    <w:rsid w:val="00995E2C"/>
    <w:rsid w:val="009B3361"/>
    <w:rsid w:val="009C43FF"/>
    <w:rsid w:val="009E6511"/>
    <w:rsid w:val="009E67F3"/>
    <w:rsid w:val="009F3EDC"/>
    <w:rsid w:val="00A11B83"/>
    <w:rsid w:val="00A274EC"/>
    <w:rsid w:val="00A426F7"/>
    <w:rsid w:val="00AA5D1A"/>
    <w:rsid w:val="00AB2F7F"/>
    <w:rsid w:val="00AD6484"/>
    <w:rsid w:val="00B01A9C"/>
    <w:rsid w:val="00B1783D"/>
    <w:rsid w:val="00B33D7E"/>
    <w:rsid w:val="00B65D55"/>
    <w:rsid w:val="00B93B22"/>
    <w:rsid w:val="00BE3997"/>
    <w:rsid w:val="00C35A8E"/>
    <w:rsid w:val="00C52CB1"/>
    <w:rsid w:val="00C81F45"/>
    <w:rsid w:val="00C90017"/>
    <w:rsid w:val="00C91331"/>
    <w:rsid w:val="00DD4F6E"/>
    <w:rsid w:val="00DD5BF9"/>
    <w:rsid w:val="00EB5ADA"/>
    <w:rsid w:val="00EC4B49"/>
    <w:rsid w:val="00F50D44"/>
    <w:rsid w:val="00F767F1"/>
    <w:rsid w:val="00FE5763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4FB4-5CC8-4471-9EBB-F32EBC8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6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42</cp:revision>
  <dcterms:created xsi:type="dcterms:W3CDTF">2020-12-24T05:34:00Z</dcterms:created>
  <dcterms:modified xsi:type="dcterms:W3CDTF">2021-02-24T12:04:00Z</dcterms:modified>
</cp:coreProperties>
</file>