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Y="961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8222"/>
      </w:tblGrid>
      <w:tr w:rsidR="00F24A14" w:rsidTr="00F24A14">
        <w:trPr>
          <w:trHeight w:val="9503"/>
        </w:trPr>
        <w:tc>
          <w:tcPr>
            <w:tcW w:w="8188" w:type="dxa"/>
          </w:tcPr>
          <w:p w:rsidR="00F24A14" w:rsidRPr="00D57274" w:rsidRDefault="00F24A14" w:rsidP="00F24A14">
            <w:pPr>
              <w:widowControl/>
              <w:shd w:val="clear" w:color="auto" w:fill="FFFFFF"/>
              <w:autoSpaceDE/>
              <w:autoSpaceDN/>
              <w:jc w:val="center"/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</w:pPr>
            <w:r w:rsidRPr="00D57274"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  <w:t>Неформальная занятость, её последствия и</w:t>
            </w:r>
          </w:p>
          <w:p w:rsidR="00F24A14" w:rsidRPr="00D57274" w:rsidRDefault="00F24A14" w:rsidP="00F24A14">
            <w:pPr>
              <w:widowControl/>
              <w:shd w:val="clear" w:color="auto" w:fill="FFFFFF"/>
              <w:autoSpaceDE/>
              <w:autoSpaceDN/>
              <w:jc w:val="center"/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</w:pPr>
            <w:r w:rsidRPr="00D57274"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  <w:t>пути решения данной проблемы</w:t>
            </w:r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color w:val="333333"/>
                <w:sz w:val="24"/>
                <w:lang w:eastAsia="ru-RU"/>
              </w:rPr>
              <w:tab/>
            </w: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Неформальная занятость - официально незарегистрированная трудовая деятельность, которая предполагает отсутствие юридического оформления отношений факта самостоятельного обеспечения работой.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предпринимательство.</w:t>
            </w:r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ab/>
            </w:r>
            <w:r w:rsidRPr="00F24A14">
              <w:rPr>
                <w:rFonts w:ascii="Liberation Serif" w:eastAsia="Times New Roman" w:hAnsi="Liberation Serif" w:cs="Arial"/>
                <w:sz w:val="24"/>
                <w:u w:val="single"/>
                <w:lang w:eastAsia="ru-RU"/>
              </w:rPr>
              <w:t>Последствия неформальной занятости.</w:t>
            </w: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 xml:space="preserve">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</w:t>
            </w:r>
            <w:proofErr w:type="gramStart"/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 xml:space="preserve">Соглашаясь работать неформально, работник рискует: получать заниженную оплату труда; не получить заработную плату в случае любого конфликта с работодателем; не получить отпускные или вовсе не пойти в отпуск; не получить оплату листка нетрудоспособности; полностью лишиться социальных гарантий, предусмотренных трудовым договором; получить отказ в расследовании несчастного случая на производстве; не получить расчет при увольнении и др. </w:t>
            </w:r>
            <w:proofErr w:type="gramEnd"/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ab/>
      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</w:t>
            </w:r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</w:t>
            </w:r>
          </w:p>
          <w:p w:rsidR="00F24A14" w:rsidRPr="00F24A14" w:rsidRDefault="00F24A14" w:rsidP="00D57274">
            <w:pPr>
              <w:widowControl/>
              <w:shd w:val="clear" w:color="auto" w:fill="FFFFFF"/>
              <w:autoSpaceDE/>
              <w:autoSpaceDN/>
              <w:ind w:firstLine="709"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Существуют различные методы снижения неформальной занятости. Это и проверки контрольно-надзорных органов, и информационно-разъяснительная работа с работодателями и работниками, а также заключение коллективных договоров в организациях.</w:t>
            </w:r>
          </w:p>
          <w:p w:rsidR="002C6B30" w:rsidRDefault="00F24A14" w:rsidP="00F24A14">
            <w:pPr>
              <w:jc w:val="both"/>
              <w:rPr>
                <w:rStyle w:val="a8"/>
                <w:rFonts w:ascii="Liberation Serif" w:hAnsi="Liberation Serif" w:cs="Arial"/>
                <w:sz w:val="24"/>
                <w:shd w:val="clear" w:color="auto" w:fill="FFFFFF"/>
              </w:rPr>
            </w:pPr>
            <w:r w:rsidRPr="00F24A14">
              <w:rPr>
                <w:rStyle w:val="a8"/>
                <w:rFonts w:ascii="Liberation Serif" w:hAnsi="Liberation Serif" w:cs="Arial"/>
                <w:sz w:val="24"/>
                <w:shd w:val="clear" w:color="auto" w:fill="FFFFFF"/>
              </w:rPr>
              <w:tab/>
            </w:r>
          </w:p>
          <w:p w:rsidR="00F24A14" w:rsidRPr="00F24A14" w:rsidRDefault="00F24A14" w:rsidP="002C6B30">
            <w:pPr>
              <w:ind w:firstLine="709"/>
              <w:jc w:val="both"/>
              <w:rPr>
                <w:sz w:val="24"/>
              </w:rPr>
            </w:pPr>
            <w:r w:rsidRPr="00F24A14">
              <w:rPr>
                <w:rStyle w:val="a8"/>
                <w:rFonts w:ascii="Liberation Serif" w:hAnsi="Liberation Serif" w:cs="Arial"/>
                <w:sz w:val="24"/>
                <w:shd w:val="clear" w:color="auto" w:fill="FFFFFF"/>
              </w:rPr>
              <w:t xml:space="preserve">С 1 января 2025 года </w:t>
            </w:r>
            <w:r w:rsidRPr="00F24A14">
              <w:rPr>
                <w:rFonts w:ascii="Liberation Serif" w:hAnsi="Liberation Serif" w:cs="Arial"/>
                <w:sz w:val="24"/>
                <w:shd w:val="clear" w:color="auto" w:fill="FFFFFF"/>
              </w:rPr>
              <w:t> в России начал работать реестр работодателей, у которых зафиксированы факты теневой занятости. Вести его будет Федеральная служба по труду и занятости. В реестр будут включены компании, нарушившие трудовое законодательство и использующие нелегальную занятость.</w:t>
            </w:r>
          </w:p>
        </w:tc>
        <w:tc>
          <w:tcPr>
            <w:tcW w:w="8222" w:type="dxa"/>
          </w:tcPr>
          <w:p w:rsidR="00F24A14" w:rsidRPr="00D57274" w:rsidRDefault="00F24A14" w:rsidP="00F24A14">
            <w:pPr>
              <w:widowControl/>
              <w:shd w:val="clear" w:color="auto" w:fill="FFFFFF"/>
              <w:autoSpaceDE/>
              <w:autoSpaceDN/>
              <w:jc w:val="center"/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</w:pPr>
            <w:r w:rsidRPr="00D57274"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  <w:t>Неформальная занятость, её последствия и</w:t>
            </w:r>
          </w:p>
          <w:p w:rsidR="00F24A14" w:rsidRPr="00D57274" w:rsidRDefault="00F24A14" w:rsidP="00F24A14">
            <w:pPr>
              <w:widowControl/>
              <w:shd w:val="clear" w:color="auto" w:fill="FFFFFF"/>
              <w:autoSpaceDE/>
              <w:autoSpaceDN/>
              <w:jc w:val="center"/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</w:pPr>
            <w:r w:rsidRPr="00D57274">
              <w:rPr>
                <w:rFonts w:ascii="Liberation Serif" w:eastAsia="Times New Roman" w:hAnsi="Liberation Serif" w:cs="Arial"/>
                <w:b/>
                <w:i/>
                <w:color w:val="000000"/>
                <w:kern w:val="36"/>
                <w:sz w:val="24"/>
                <w:lang w:eastAsia="ru-RU"/>
              </w:rPr>
              <w:t>пути решения данной проблемы</w:t>
            </w:r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color w:val="333333"/>
                <w:sz w:val="24"/>
                <w:lang w:eastAsia="ru-RU"/>
              </w:rPr>
              <w:tab/>
            </w: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Неформальная занятость - официально незарегистрированная трудовая деятельность, которая предполагает отсутствие юридического оформления отношений факта самостоятельного обеспечения работой.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предпринимательство.</w:t>
            </w:r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ab/>
            </w:r>
            <w:r w:rsidRPr="00F24A14">
              <w:rPr>
                <w:rFonts w:ascii="Liberation Serif" w:eastAsia="Times New Roman" w:hAnsi="Liberation Serif" w:cs="Arial"/>
                <w:sz w:val="24"/>
                <w:u w:val="single"/>
                <w:lang w:eastAsia="ru-RU"/>
              </w:rPr>
              <w:t>Последствия неформальной занятости.</w:t>
            </w: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 xml:space="preserve">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 </w:t>
            </w:r>
            <w:proofErr w:type="gramStart"/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 xml:space="preserve">Соглашаясь работать неформально, работник рискует: получать заниженную оплату труда; не получить заработную плату в случае любого конфликта с работодателем; не получить отпускные или вовсе не пойти в отпуск; не получить оплату листка нетрудоспособности; полностью лишиться социальных гарантий, предусмотренных трудовым договором; получить отказ в расследовании несчастного случая на производстве; не получить расчет при увольнении и др. </w:t>
            </w:r>
            <w:proofErr w:type="gramEnd"/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ab/>
      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наличии официального оформления трудовых отношений.</w:t>
            </w:r>
          </w:p>
          <w:p w:rsidR="00F24A14" w:rsidRPr="00F24A14" w:rsidRDefault="00F24A14" w:rsidP="00F24A14">
            <w:pPr>
              <w:widowControl/>
              <w:shd w:val="clear" w:color="auto" w:fill="FFFFFF"/>
              <w:autoSpaceDE/>
              <w:autoSpaceDN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невозможно.</w:t>
            </w:r>
          </w:p>
          <w:p w:rsidR="00F24A14" w:rsidRPr="00F24A14" w:rsidRDefault="00F24A14" w:rsidP="00D57274">
            <w:pPr>
              <w:widowControl/>
              <w:shd w:val="clear" w:color="auto" w:fill="FFFFFF"/>
              <w:autoSpaceDE/>
              <w:autoSpaceDN/>
              <w:ind w:firstLine="743"/>
              <w:jc w:val="both"/>
              <w:rPr>
                <w:rFonts w:ascii="Liberation Serif" w:eastAsia="Times New Roman" w:hAnsi="Liberation Serif" w:cs="Arial"/>
                <w:sz w:val="24"/>
                <w:lang w:eastAsia="ru-RU"/>
              </w:rPr>
            </w:pPr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Существуют различные методы снижения неформальной занятости. Это и проверки контрольно-надзор</w:t>
            </w:r>
            <w:bookmarkStart w:id="0" w:name="_GoBack"/>
            <w:bookmarkEnd w:id="0"/>
            <w:r w:rsidRPr="00F24A14">
              <w:rPr>
                <w:rFonts w:ascii="Liberation Serif" w:eastAsia="Times New Roman" w:hAnsi="Liberation Serif" w:cs="Arial"/>
                <w:sz w:val="24"/>
                <w:lang w:eastAsia="ru-RU"/>
              </w:rPr>
              <w:t>ных органов, и информационно-разъяснительная работа с работодателями и работниками, а также заключение коллективных договоров в организациях.</w:t>
            </w:r>
          </w:p>
          <w:p w:rsidR="002C6B30" w:rsidRDefault="00F24A14" w:rsidP="00F24A14">
            <w:pPr>
              <w:jc w:val="both"/>
              <w:rPr>
                <w:rStyle w:val="a8"/>
                <w:rFonts w:ascii="Liberation Serif" w:hAnsi="Liberation Serif" w:cs="Arial"/>
                <w:sz w:val="24"/>
                <w:shd w:val="clear" w:color="auto" w:fill="FFFFFF"/>
              </w:rPr>
            </w:pPr>
            <w:r w:rsidRPr="00F24A14">
              <w:rPr>
                <w:rStyle w:val="a8"/>
                <w:rFonts w:ascii="Liberation Serif" w:hAnsi="Liberation Serif" w:cs="Arial"/>
                <w:sz w:val="24"/>
                <w:shd w:val="clear" w:color="auto" w:fill="FFFFFF"/>
              </w:rPr>
              <w:tab/>
            </w:r>
          </w:p>
          <w:p w:rsidR="00F24A14" w:rsidRPr="00F24A14" w:rsidRDefault="00F24A14" w:rsidP="002C6B30">
            <w:pPr>
              <w:ind w:firstLine="743"/>
              <w:jc w:val="both"/>
              <w:rPr>
                <w:sz w:val="24"/>
              </w:rPr>
            </w:pPr>
            <w:r w:rsidRPr="00F24A14">
              <w:rPr>
                <w:rStyle w:val="a8"/>
                <w:rFonts w:ascii="Liberation Serif" w:hAnsi="Liberation Serif" w:cs="Arial"/>
                <w:sz w:val="24"/>
                <w:shd w:val="clear" w:color="auto" w:fill="FFFFFF"/>
              </w:rPr>
              <w:t xml:space="preserve">С 1 января 2025 года </w:t>
            </w:r>
            <w:r w:rsidRPr="00F24A14">
              <w:rPr>
                <w:rFonts w:ascii="Liberation Serif" w:hAnsi="Liberation Serif" w:cs="Arial"/>
                <w:sz w:val="24"/>
                <w:shd w:val="clear" w:color="auto" w:fill="FFFFFF"/>
              </w:rPr>
              <w:t> в России начал работать реестр работодателей, у которых зафиксированы факты теневой занятости. Вести его будет Федеральная служба по труду и занятости. В реестр будут включены компании, нарушившие трудовое законодательство и использующие нелегальную занятость.</w:t>
            </w:r>
          </w:p>
        </w:tc>
      </w:tr>
    </w:tbl>
    <w:p w:rsidR="0038756C" w:rsidRPr="00F24A14" w:rsidRDefault="0038756C" w:rsidP="00F24A14"/>
    <w:sectPr w:rsidR="0038756C" w:rsidRPr="00F24A14" w:rsidSect="00F24A14">
      <w:pgSz w:w="16838" w:h="11906" w:orient="landscape"/>
      <w:pgMar w:top="851" w:right="851" w:bottom="136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4DE"/>
    <w:multiLevelType w:val="multilevel"/>
    <w:tmpl w:val="065E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0A"/>
    <w:rsid w:val="002B34E1"/>
    <w:rsid w:val="002C3921"/>
    <w:rsid w:val="002C6B30"/>
    <w:rsid w:val="002D6A0A"/>
    <w:rsid w:val="002F6F2A"/>
    <w:rsid w:val="0038756C"/>
    <w:rsid w:val="004A347E"/>
    <w:rsid w:val="00A2655E"/>
    <w:rsid w:val="00D57274"/>
    <w:rsid w:val="00D667EB"/>
    <w:rsid w:val="00DF056E"/>
    <w:rsid w:val="00F24A14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F2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2F6F2A"/>
    <w:pPr>
      <w:ind w:left="1331" w:hanging="411"/>
      <w:outlineLvl w:val="0"/>
    </w:pPr>
    <w:rPr>
      <w:rFonts w:eastAsia="Times New Roman" w:cs="Times New Roman"/>
      <w:sz w:val="30"/>
      <w:szCs w:val="30"/>
    </w:rPr>
  </w:style>
  <w:style w:type="paragraph" w:styleId="2">
    <w:name w:val="heading 2"/>
    <w:basedOn w:val="a"/>
    <w:link w:val="20"/>
    <w:uiPriority w:val="1"/>
    <w:qFormat/>
    <w:rsid w:val="002F6F2A"/>
    <w:pPr>
      <w:ind w:left="1341"/>
      <w:outlineLvl w:val="1"/>
    </w:pPr>
    <w:rPr>
      <w:rFonts w:eastAsia="Times New Roman" w:cs="Times New Roman"/>
      <w:sz w:val="29"/>
      <w:szCs w:val="29"/>
    </w:rPr>
  </w:style>
  <w:style w:type="paragraph" w:styleId="3">
    <w:name w:val="heading 3"/>
    <w:basedOn w:val="a"/>
    <w:link w:val="30"/>
    <w:uiPriority w:val="1"/>
    <w:qFormat/>
    <w:rsid w:val="002F6F2A"/>
    <w:pPr>
      <w:spacing w:before="49"/>
      <w:ind w:left="2885" w:hanging="328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6F2A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F6F2A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2F6F2A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2F6F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"/>
    <w:qFormat/>
    <w:rsid w:val="002F6F2A"/>
    <w:pPr>
      <w:ind w:left="1699" w:right="748"/>
      <w:jc w:val="center"/>
    </w:pPr>
    <w:rPr>
      <w:rFonts w:eastAsia="Times New Roman" w:cs="Times New Roman"/>
      <w:sz w:val="37"/>
      <w:szCs w:val="37"/>
    </w:rPr>
  </w:style>
  <w:style w:type="character" w:customStyle="1" w:styleId="a4">
    <w:name w:val="Название Знак"/>
    <w:basedOn w:val="a0"/>
    <w:link w:val="a3"/>
    <w:uiPriority w:val="1"/>
    <w:rsid w:val="002F6F2A"/>
    <w:rPr>
      <w:rFonts w:ascii="Times New Roman" w:eastAsia="Times New Roman" w:hAnsi="Times New Roman" w:cs="Times New Roman"/>
      <w:sz w:val="37"/>
      <w:szCs w:val="37"/>
    </w:rPr>
  </w:style>
  <w:style w:type="paragraph" w:styleId="a5">
    <w:name w:val="Body Text"/>
    <w:basedOn w:val="a"/>
    <w:link w:val="a6"/>
    <w:uiPriority w:val="1"/>
    <w:qFormat/>
    <w:rsid w:val="002F6F2A"/>
    <w:pPr>
      <w:jc w:val="both"/>
    </w:pPr>
    <w:rPr>
      <w:rFonts w:eastAsia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2F6F2A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2F6F2A"/>
    <w:pPr>
      <w:ind w:left="1328" w:firstLine="703"/>
      <w:jc w:val="both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2B34E1"/>
    <w:rPr>
      <w:b/>
      <w:bCs/>
    </w:rPr>
  </w:style>
  <w:style w:type="table" w:styleId="a9">
    <w:name w:val="Table Grid"/>
    <w:basedOn w:val="a1"/>
    <w:uiPriority w:val="59"/>
    <w:rsid w:val="00F2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F2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2F6F2A"/>
    <w:pPr>
      <w:ind w:left="1331" w:hanging="411"/>
      <w:outlineLvl w:val="0"/>
    </w:pPr>
    <w:rPr>
      <w:rFonts w:eastAsia="Times New Roman" w:cs="Times New Roman"/>
      <w:sz w:val="30"/>
      <w:szCs w:val="30"/>
    </w:rPr>
  </w:style>
  <w:style w:type="paragraph" w:styleId="2">
    <w:name w:val="heading 2"/>
    <w:basedOn w:val="a"/>
    <w:link w:val="20"/>
    <w:uiPriority w:val="1"/>
    <w:qFormat/>
    <w:rsid w:val="002F6F2A"/>
    <w:pPr>
      <w:ind w:left="1341"/>
      <w:outlineLvl w:val="1"/>
    </w:pPr>
    <w:rPr>
      <w:rFonts w:eastAsia="Times New Roman" w:cs="Times New Roman"/>
      <w:sz w:val="29"/>
      <w:szCs w:val="29"/>
    </w:rPr>
  </w:style>
  <w:style w:type="paragraph" w:styleId="3">
    <w:name w:val="heading 3"/>
    <w:basedOn w:val="a"/>
    <w:link w:val="30"/>
    <w:uiPriority w:val="1"/>
    <w:qFormat/>
    <w:rsid w:val="002F6F2A"/>
    <w:pPr>
      <w:spacing w:before="49"/>
      <w:ind w:left="2885" w:hanging="328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6F2A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F6F2A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2F6F2A"/>
    <w:rPr>
      <w:rFonts w:ascii="Times New Roman" w:eastAsia="Times New Roman" w:hAnsi="Times New Roman" w:cs="Times New Roman"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2F6F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"/>
    <w:qFormat/>
    <w:rsid w:val="002F6F2A"/>
    <w:pPr>
      <w:ind w:left="1699" w:right="748"/>
      <w:jc w:val="center"/>
    </w:pPr>
    <w:rPr>
      <w:rFonts w:eastAsia="Times New Roman" w:cs="Times New Roman"/>
      <w:sz w:val="37"/>
      <w:szCs w:val="37"/>
    </w:rPr>
  </w:style>
  <w:style w:type="character" w:customStyle="1" w:styleId="a4">
    <w:name w:val="Название Знак"/>
    <w:basedOn w:val="a0"/>
    <w:link w:val="a3"/>
    <w:uiPriority w:val="1"/>
    <w:rsid w:val="002F6F2A"/>
    <w:rPr>
      <w:rFonts w:ascii="Times New Roman" w:eastAsia="Times New Roman" w:hAnsi="Times New Roman" w:cs="Times New Roman"/>
      <w:sz w:val="37"/>
      <w:szCs w:val="37"/>
    </w:rPr>
  </w:style>
  <w:style w:type="paragraph" w:styleId="a5">
    <w:name w:val="Body Text"/>
    <w:basedOn w:val="a"/>
    <w:link w:val="a6"/>
    <w:uiPriority w:val="1"/>
    <w:qFormat/>
    <w:rsid w:val="002F6F2A"/>
    <w:pPr>
      <w:jc w:val="both"/>
    </w:pPr>
    <w:rPr>
      <w:rFonts w:eastAsia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2F6F2A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2F6F2A"/>
    <w:pPr>
      <w:ind w:left="1328" w:firstLine="703"/>
      <w:jc w:val="both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2B34E1"/>
    <w:rPr>
      <w:b/>
      <w:bCs/>
    </w:rPr>
  </w:style>
  <w:style w:type="table" w:styleId="a9">
    <w:name w:val="Table Grid"/>
    <w:basedOn w:val="a1"/>
    <w:uiPriority w:val="59"/>
    <w:rsid w:val="00F2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5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Т.В. Распопова</dc:creator>
  <cp:lastModifiedBy>Лидия Сергеевна Вохмина</cp:lastModifiedBy>
  <cp:revision>5</cp:revision>
  <cp:lastPrinted>2025-02-20T03:57:00Z</cp:lastPrinted>
  <dcterms:created xsi:type="dcterms:W3CDTF">2025-02-20T03:46:00Z</dcterms:created>
  <dcterms:modified xsi:type="dcterms:W3CDTF">2025-02-21T05:51:00Z</dcterms:modified>
</cp:coreProperties>
</file>