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ВерхнесалдинскоГО </w:t>
      </w:r>
      <w:r w:rsidR="0096194B"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</w:t>
      </w: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:rsidR="00F2538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:rsid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194B" w:rsidRP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144AC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A60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="000144AC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3F4F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Верхняя Салда</w:t>
      </w:r>
    </w:p>
    <w:p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194B" w:rsidRPr="00993236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150"/>
      <w:bookmarkEnd w:id="0"/>
      <w:r w:rsidRPr="000F72F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 внесении изменений в перечень и коды целевых статей расходов, относящихся к бюджету </w:t>
      </w:r>
      <w:proofErr w:type="spellStart"/>
      <w:r w:rsidRPr="00993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Верхнесалдинского</w:t>
      </w:r>
      <w:proofErr w:type="spellEnd"/>
      <w:r w:rsidRPr="00993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Свердловской области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</w:t>
      </w:r>
      <w:hyperlink r:id="rId7" w:history="1">
        <w:r w:rsidRPr="000F72FE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пункта 4 статьи 21</w:t>
        </w:r>
      </w:hyperlink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утвержденного постановлением администрации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округа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2.12.202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2541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в целях исполнения бюджета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-202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годов, утвержденный решением Думы городского округа от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«Об утверждении бюджета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 год и плановый период 2026-2027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годов»,</w:t>
      </w:r>
    </w:p>
    <w:p w:rsidR="0096194B" w:rsidRPr="000F72FE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ПРИКАЗЫВАЮ:</w:t>
      </w:r>
    </w:p>
    <w:p w:rsidR="0096194B" w:rsidRPr="006215B6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Pr="000F72FE">
        <w:rPr>
          <w:rFonts w:ascii="Times New Roman" w:eastAsia="Times New Roman" w:hAnsi="Times New Roman" w:cs="Times New Roman"/>
          <w:sz w:val="25"/>
          <w:szCs w:val="25"/>
        </w:rPr>
        <w:t xml:space="preserve">В Перечень и коды целевых статей расходов местного бюджета, утвержденные 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 xml:space="preserve">приказом Финансового управления администрации </w:t>
      </w:r>
      <w:proofErr w:type="spellStart"/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 xml:space="preserve"> городского округа от 2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5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>.11.202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4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</w:rPr>
        <w:t xml:space="preserve"> № 114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Свердловской области</w:t>
      </w:r>
      <w:r w:rsidRPr="000F72F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="006215B6" w:rsidRPr="00621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15B6" w:rsidRPr="006215B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(в редакции от 20.01.2025 № 4)</w:t>
      </w:r>
      <w:r w:rsidRPr="006215B6">
        <w:rPr>
          <w:rFonts w:ascii="Times New Roman" w:eastAsia="Times New Roman" w:hAnsi="Times New Roman" w:cs="Times New Roman"/>
          <w:bCs/>
          <w:spacing w:val="-6"/>
          <w:sz w:val="25"/>
          <w:szCs w:val="25"/>
        </w:rPr>
        <w:t>,</w:t>
      </w:r>
      <w:r w:rsidRPr="006215B6">
        <w:rPr>
          <w:rFonts w:ascii="Times New Roman" w:eastAsia="Times New Roman" w:hAnsi="Times New Roman" w:cs="Times New Roman"/>
          <w:bCs/>
          <w:sz w:val="25"/>
          <w:szCs w:val="25"/>
        </w:rPr>
        <w:t xml:space="preserve"> внести следующие изменения:</w:t>
      </w:r>
    </w:p>
    <w:p w:rsidR="0096194B" w:rsidRDefault="002E5156" w:rsidP="00D65F5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добавить строки</w:t>
      </w:r>
      <w:r w:rsidR="0096194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55</w:t>
      </w:r>
      <w:r w:rsidR="0096194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-1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155-2, 155-3</w:t>
      </w:r>
      <w:r w:rsidR="005C0E06">
        <w:rPr>
          <w:rFonts w:ascii="Times New Roman" w:eastAsia="Times New Roman" w:hAnsi="Times New Roman" w:cs="Times New Roman"/>
          <w:sz w:val="25"/>
          <w:szCs w:val="25"/>
          <w:lang w:eastAsia="ru-RU"/>
        </w:rPr>
        <w:t>, 155-4</w:t>
      </w:r>
      <w:r w:rsidR="0096194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следующего содержания:</w:t>
      </w:r>
    </w:p>
    <w:p w:rsidR="002E5156" w:rsidRPr="00D65F50" w:rsidRDefault="002E5156" w:rsidP="002E5156">
      <w:pPr>
        <w:pStyle w:val="a4"/>
        <w:autoSpaceDE w:val="0"/>
        <w:autoSpaceDN w:val="0"/>
        <w:adjustRightInd w:val="0"/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A60061" w:rsidRPr="000F72FE" w:rsidTr="0096194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61" w:rsidRPr="005C0E06" w:rsidRDefault="00A60061" w:rsidP="002E51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t>155-1.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61" w:rsidRPr="005C0E06" w:rsidRDefault="00A60061" w:rsidP="002E5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t>10 2Ю6 00000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61" w:rsidRPr="005C0E06" w:rsidRDefault="00A60061" w:rsidP="002E5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федерального проекта «Педагоги и наставники» на территории </w:t>
            </w:r>
            <w:proofErr w:type="spellStart"/>
            <w:r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Свердловской области</w:t>
            </w:r>
          </w:p>
        </w:tc>
      </w:tr>
      <w:tr w:rsidR="002E5156" w:rsidRPr="000F72FE" w:rsidTr="0096194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6" w:rsidRPr="005C0E06" w:rsidRDefault="00A60061" w:rsidP="002E51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t>155-2.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6" w:rsidRPr="005C0E06" w:rsidRDefault="002E5156" w:rsidP="002E5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t>10 2Ю6 50500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6" w:rsidRPr="005C0E06" w:rsidRDefault="002E5156" w:rsidP="002E5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5C0E06">
              <w:rPr>
                <w:rFonts w:ascii="Times New Roman" w:hAnsi="Times New Roman"/>
                <w:sz w:val="24"/>
                <w:szCs w:val="24"/>
              </w:rPr>
              <w:t xml:space="preserve">общественными объединениями государственных и муниципальных общеобразовательных организаций, государственных профессиональных образовательных организаций на условиях </w:t>
            </w:r>
            <w:proofErr w:type="spellStart"/>
            <w:r w:rsidRPr="005C0E06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5C0E06">
              <w:rPr>
                <w:rFonts w:ascii="Times New Roman" w:hAnsi="Times New Roman"/>
                <w:sz w:val="24"/>
                <w:szCs w:val="24"/>
              </w:rPr>
              <w:t xml:space="preserve"> из федерального бюджета</w:t>
            </w:r>
          </w:p>
        </w:tc>
      </w:tr>
      <w:tr w:rsidR="002E5156" w:rsidRPr="000F72FE" w:rsidTr="0096194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6" w:rsidRPr="005C0E06" w:rsidRDefault="00A60061" w:rsidP="002E51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t>155-3</w:t>
            </w:r>
            <w:r w:rsidR="002E5156"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6" w:rsidRPr="005C0E06" w:rsidRDefault="002E5156" w:rsidP="002E515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0E06">
              <w:rPr>
                <w:rFonts w:ascii="Times New Roman" w:hAnsi="Times New Roman"/>
                <w:sz w:val="24"/>
                <w:szCs w:val="24"/>
              </w:rPr>
              <w:t>10 2Ю6</w:t>
            </w:r>
            <w:r w:rsidRPr="005C0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51790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6" w:rsidRPr="005C0E06" w:rsidRDefault="002E5156" w:rsidP="002E5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0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5C0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общеобразовательных организациях на условиях </w:t>
            </w:r>
            <w:proofErr w:type="spellStart"/>
            <w:r w:rsidRPr="005C0E06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5C0E06">
              <w:rPr>
                <w:rFonts w:ascii="Times New Roman" w:hAnsi="Times New Roman"/>
                <w:sz w:val="24"/>
                <w:szCs w:val="24"/>
              </w:rPr>
              <w:t xml:space="preserve"> из федерального бюджета</w:t>
            </w:r>
          </w:p>
        </w:tc>
      </w:tr>
      <w:tr w:rsidR="002E5156" w:rsidRPr="000F72FE" w:rsidTr="00A600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6" w:rsidRPr="005C0E06" w:rsidRDefault="00A60061" w:rsidP="002E51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155-4</w:t>
            </w:r>
            <w:r w:rsidR="002E5156" w:rsidRPr="005C0E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6" w:rsidRPr="005C0E06" w:rsidRDefault="002E5156" w:rsidP="002E515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06">
              <w:rPr>
                <w:rFonts w:ascii="Times New Roman" w:hAnsi="Times New Roman"/>
                <w:sz w:val="24"/>
                <w:szCs w:val="24"/>
              </w:rPr>
              <w:t>10 2Ю6 53030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56" w:rsidRPr="005C0E06" w:rsidRDefault="002E5156" w:rsidP="002E5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06">
              <w:rPr>
                <w:rFonts w:ascii="Times New Roman" w:hAnsi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на условиях </w:t>
            </w:r>
            <w:proofErr w:type="spellStart"/>
            <w:r w:rsidRPr="005C0E06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5C0E06">
              <w:rPr>
                <w:rFonts w:ascii="Times New Roman" w:hAnsi="Times New Roman"/>
                <w:sz w:val="24"/>
                <w:szCs w:val="24"/>
              </w:rPr>
              <w:t xml:space="preserve"> из федерального бюджета</w:t>
            </w:r>
          </w:p>
        </w:tc>
      </w:tr>
    </w:tbl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Calibri" w:hAnsi="Times New Roman" w:cs="Times New Roman"/>
          <w:sz w:val="25"/>
          <w:szCs w:val="25"/>
        </w:rPr>
        <w:t>2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Разместить настоящий приказ на официальном сайте </w:t>
      </w: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65F50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</w:t>
      </w:r>
      <w:r w:rsidR="000F74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="00D65F50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вердловской области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hyperlink r:id="rId8" w:history="1"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http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://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v</w:t>
        </w:r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-</w:t>
        </w:r>
        <w:proofErr w:type="spellStart"/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salda</w:t>
        </w:r>
        <w:proofErr w:type="spellEnd"/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proofErr w:type="spellStart"/>
        <w:r w:rsidRPr="000F72FE">
          <w:rPr>
            <w:rStyle w:val="a7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ru</w:t>
        </w:r>
        <w:proofErr w:type="spellEnd"/>
      </w:hyperlink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3. Контроль исполнения настоящего Приказа оставляю за собой.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194B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И.о.н</w:t>
      </w:r>
      <w:r w:rsidR="0096194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96194B"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Финансового </w:t>
      </w:r>
    </w:p>
    <w:p w:rsidR="0096194B" w:rsidRPr="000F72FE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дминистрации</w:t>
      </w:r>
    </w:p>
    <w:p w:rsidR="0096194B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Верхнесалдинского</w:t>
      </w:r>
      <w:proofErr w:type="spellEnd"/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2E5156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Свердловской области         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</w:t>
      </w:r>
      <w:r w:rsidR="00D65F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0F72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="002E51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Л.А. </w:t>
      </w:r>
      <w:proofErr w:type="spellStart"/>
      <w:r w:rsidR="002E5156"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Измоденова</w:t>
      </w:r>
      <w:proofErr w:type="spellEnd"/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5156" w:rsidRPr="000F72FE" w:rsidRDefault="002E5156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1" w:name="_GoBack"/>
      <w:bookmarkEnd w:id="1"/>
    </w:p>
    <w:sectPr w:rsidR="002E5156" w:rsidRPr="000F72F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144A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A2867"/>
    <w:rsid w:val="000A58C2"/>
    <w:rsid w:val="000A6EFF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E5156"/>
    <w:rsid w:val="002F1651"/>
    <w:rsid w:val="002F7D91"/>
    <w:rsid w:val="00302E55"/>
    <w:rsid w:val="0030453C"/>
    <w:rsid w:val="00316508"/>
    <w:rsid w:val="00330649"/>
    <w:rsid w:val="003335FE"/>
    <w:rsid w:val="00350493"/>
    <w:rsid w:val="00351B01"/>
    <w:rsid w:val="00355E7A"/>
    <w:rsid w:val="00367D48"/>
    <w:rsid w:val="00370CF1"/>
    <w:rsid w:val="0037242A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3F4F28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4728"/>
    <w:rsid w:val="005A79D4"/>
    <w:rsid w:val="005B0CB0"/>
    <w:rsid w:val="005B1E0F"/>
    <w:rsid w:val="005B5CC9"/>
    <w:rsid w:val="005C0E06"/>
    <w:rsid w:val="005C68C5"/>
    <w:rsid w:val="005D05B0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EFC"/>
    <w:rsid w:val="006158C5"/>
    <w:rsid w:val="00615C9B"/>
    <w:rsid w:val="006161C3"/>
    <w:rsid w:val="00617AFE"/>
    <w:rsid w:val="006207D4"/>
    <w:rsid w:val="006215B6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53EF"/>
    <w:rsid w:val="006B065D"/>
    <w:rsid w:val="006C50A5"/>
    <w:rsid w:val="006C5D0C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06"/>
    <w:rsid w:val="008050D1"/>
    <w:rsid w:val="00806233"/>
    <w:rsid w:val="00806C9D"/>
    <w:rsid w:val="00807B90"/>
    <w:rsid w:val="00810727"/>
    <w:rsid w:val="00812082"/>
    <w:rsid w:val="0081575C"/>
    <w:rsid w:val="008169B8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60061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5668"/>
    <w:rsid w:val="00C25C27"/>
    <w:rsid w:val="00C345D9"/>
    <w:rsid w:val="00C51E6F"/>
    <w:rsid w:val="00C550A7"/>
    <w:rsid w:val="00C61B11"/>
    <w:rsid w:val="00C664C3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914DC"/>
    <w:rsid w:val="00FA0E60"/>
    <w:rsid w:val="00FA1573"/>
    <w:rsid w:val="00FA1C30"/>
    <w:rsid w:val="00FA6A41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4C19-7A2E-4BDD-8DB6-6C8274C2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25366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349</cp:revision>
  <cp:lastPrinted>2025-01-24T08:47:00Z</cp:lastPrinted>
  <dcterms:created xsi:type="dcterms:W3CDTF">2019-02-13T07:23:00Z</dcterms:created>
  <dcterms:modified xsi:type="dcterms:W3CDTF">2025-01-27T07:55:00Z</dcterms:modified>
</cp:coreProperties>
</file>