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 санкции транспортного прокурора за таможенную задолженность арестовано имущество юридического лица</w:t>
      </w:r>
    </w:p>
    <w:p w14:paraId="02000000">
      <w:pPr>
        <w:widowControl w:val="1"/>
        <w:spacing w:line="240" w:lineRule="auto"/>
        <w:ind/>
        <w:jc w:val="center"/>
        <w:rPr>
          <w:rFonts w:ascii="Times New Roman" w:hAnsi="Times New Roman"/>
          <w:b w:val="1"/>
        </w:rPr>
      </w:pPr>
    </w:p>
    <w:p w14:paraId="03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Свердловской транспортной прокуратурой санкционировано решение Екатеринбургской таможни об аресте  двух автомобилей стоимостью свыше 6 млн рублей.</w:t>
      </w:r>
    </w:p>
    <w:p w14:paraId="04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у участника внешнеэкономической деятельности, занимающегося реализацией сельскохозяйственных товаров, </w:t>
      </w:r>
      <w:r>
        <w:rPr>
          <w:rFonts w:ascii="Times New Roman" w:hAnsi="Times New Roman"/>
        </w:rPr>
        <w:t>ненадлежащим образом исполнившим обязанность по уплате таможенных платежей,</w:t>
      </w:r>
      <w:r>
        <w:rPr>
          <w:rFonts w:ascii="Times New Roman" w:hAnsi="Times New Roman"/>
        </w:rPr>
        <w:t xml:space="preserve"> возникла недоимка, выявленная в ходе таможенного контроля.</w:t>
      </w:r>
    </w:p>
    <w:p w14:paraId="05000000">
      <w:pPr>
        <w:widowControl w:val="1"/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непогашения задолженности на автомобили будет обращено принудительное взыскание.</w:t>
      </w:r>
    </w:p>
    <w:p w14:paraId="06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7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8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9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A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B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C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D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E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0F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0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1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2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3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4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5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6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7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8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9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A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B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C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D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E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1F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0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1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2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p w14:paraId="23000000">
      <w:pPr>
        <w:widowControl w:val="1"/>
        <w:spacing w:line="240" w:lineRule="auto"/>
        <w:ind/>
        <w:jc w:val="both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2026-06-25T17:34:51Z</dcterms:created>
  <dcterms:modified xsi:type="dcterms:W3CDTF">2026-06-25T17:40:10Z</dcterms:modified>
</cp:coreProperties>
</file>