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554" w:rsidRPr="00AD0554" w:rsidRDefault="00AD0554" w:rsidP="00AD0554">
      <w:pPr>
        <w:spacing w:before="161" w:after="161" w:line="240" w:lineRule="auto"/>
        <w:jc w:val="center"/>
        <w:outlineLvl w:val="0"/>
        <w:rPr>
          <w:rFonts w:ascii="Times New Roman" w:eastAsia="Times New Roman" w:hAnsi="Times New Roman" w:cs="Times New Roman"/>
          <w:b/>
          <w:kern w:val="36"/>
          <w:sz w:val="26"/>
          <w:szCs w:val="26"/>
          <w:lang w:eastAsia="ru-RU"/>
        </w:rPr>
      </w:pPr>
      <w:r w:rsidRPr="00AD0554">
        <w:rPr>
          <w:rFonts w:ascii="Times New Roman" w:eastAsia="Times New Roman" w:hAnsi="Times New Roman" w:cs="Times New Roman"/>
          <w:b/>
          <w:kern w:val="36"/>
          <w:sz w:val="26"/>
          <w:szCs w:val="26"/>
          <w:lang w:eastAsia="ru-RU"/>
        </w:rPr>
        <w:t>Порядок исчисления взносов с МРОТ для руководителя при ликвидации и исключении из ЕГРЮЛ</w:t>
      </w:r>
    </w:p>
    <w:p w:rsidR="00AD0554" w:rsidRP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С 2026 года коммерческие организации обязаны исчислять страховые взносы с выплат единоличному исполнительному органу исходя из суммы не менее МРОТ (</w:t>
      </w:r>
      <w:proofErr w:type="spellStart"/>
      <w:r w:rsidRPr="00AD0554">
        <w:rPr>
          <w:rFonts w:ascii="Times New Roman" w:eastAsia="Times New Roman" w:hAnsi="Times New Roman" w:cs="Times New Roman"/>
          <w:sz w:val="26"/>
          <w:szCs w:val="26"/>
          <w:lang w:eastAsia="ru-RU"/>
        </w:rPr>
        <w:fldChar w:fldCharType="begin"/>
      </w:r>
      <w:r w:rsidRPr="00AD0554">
        <w:rPr>
          <w:rFonts w:ascii="Times New Roman" w:eastAsia="Times New Roman" w:hAnsi="Times New Roman" w:cs="Times New Roman"/>
          <w:sz w:val="26"/>
          <w:szCs w:val="26"/>
          <w:lang w:eastAsia="ru-RU"/>
        </w:rPr>
        <w:instrText xml:space="preserve"> HYPERLINK "https://nalog.garant.ru/fns/nk/816575938fdd1a0470a9d603c7b866a6/" </w:instrText>
      </w:r>
      <w:r w:rsidRPr="00AD0554">
        <w:rPr>
          <w:rFonts w:ascii="Times New Roman" w:eastAsia="Times New Roman" w:hAnsi="Times New Roman" w:cs="Times New Roman"/>
          <w:sz w:val="26"/>
          <w:szCs w:val="26"/>
          <w:lang w:eastAsia="ru-RU"/>
        </w:rPr>
        <w:fldChar w:fldCharType="separate"/>
      </w:r>
      <w:r w:rsidRPr="00AD0554">
        <w:rPr>
          <w:rFonts w:ascii="Times New Roman" w:eastAsia="Times New Roman" w:hAnsi="Times New Roman" w:cs="Times New Roman"/>
          <w:sz w:val="26"/>
          <w:szCs w:val="26"/>
          <w:lang w:eastAsia="ru-RU"/>
        </w:rPr>
        <w:t>абз</w:t>
      </w:r>
      <w:proofErr w:type="spellEnd"/>
      <w:r w:rsidRPr="00AD0554">
        <w:rPr>
          <w:rFonts w:ascii="Times New Roman" w:eastAsia="Times New Roman" w:hAnsi="Times New Roman" w:cs="Times New Roman"/>
          <w:sz w:val="26"/>
          <w:szCs w:val="26"/>
          <w:lang w:eastAsia="ru-RU"/>
        </w:rPr>
        <w:t>. 2 п. 1 ст. 421 НК РФ</w:t>
      </w:r>
      <w:r w:rsidRPr="00AD0554">
        <w:rPr>
          <w:rFonts w:ascii="Times New Roman" w:eastAsia="Times New Roman" w:hAnsi="Times New Roman" w:cs="Times New Roman"/>
          <w:sz w:val="26"/>
          <w:szCs w:val="26"/>
          <w:lang w:eastAsia="ru-RU"/>
        </w:rPr>
        <w:fldChar w:fldCharType="end"/>
      </w:r>
      <w:r w:rsidRPr="00AD0554">
        <w:rPr>
          <w:rFonts w:ascii="Times New Roman" w:eastAsia="Times New Roman" w:hAnsi="Times New Roman" w:cs="Times New Roman"/>
          <w:sz w:val="26"/>
          <w:szCs w:val="26"/>
          <w:lang w:eastAsia="ru-RU"/>
        </w:rPr>
        <w:t>).</w:t>
      </w:r>
    </w:p>
    <w:p w:rsid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P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bookmarkStart w:id="0" w:name="_GoBack"/>
      <w:bookmarkEnd w:id="0"/>
      <w:r w:rsidRPr="00AD0554">
        <w:rPr>
          <w:rFonts w:ascii="Times New Roman" w:eastAsia="Times New Roman" w:hAnsi="Times New Roman" w:cs="Times New Roman"/>
          <w:sz w:val="26"/>
          <w:szCs w:val="26"/>
          <w:lang w:eastAsia="ru-RU"/>
        </w:rPr>
        <w:t>ФНС России</w:t>
      </w:r>
      <w:hyperlink r:id="rId4" w:history="1">
        <w:r w:rsidRPr="00AD0554">
          <w:rPr>
            <w:rFonts w:ascii="Times New Roman" w:eastAsia="Times New Roman" w:hAnsi="Times New Roman" w:cs="Times New Roman"/>
            <w:sz w:val="26"/>
            <w:szCs w:val="26"/>
            <w:lang w:eastAsia="ru-RU"/>
          </w:rPr>
          <w:t> письмом от 6 июля 2026 г. № БС-36-11/5654@</w:t>
        </w:r>
      </w:hyperlink>
      <w:r w:rsidRPr="00AD0554">
        <w:rPr>
          <w:rFonts w:ascii="Times New Roman" w:eastAsia="Times New Roman" w:hAnsi="Times New Roman" w:cs="Times New Roman"/>
          <w:sz w:val="26"/>
          <w:szCs w:val="26"/>
          <w:lang w:eastAsia="ru-RU"/>
        </w:rPr>
        <w:t> разъяснила порядок применения данной нормы в двух особых случаях: при ликвидации и при исключении из ЕГРЮЛ.</w:t>
      </w:r>
    </w:p>
    <w:p w:rsidR="00AD0554" w:rsidRP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P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При ликвидации организации:</w:t>
      </w:r>
    </w:p>
    <w:p w:rsid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В соответствии с </w:t>
      </w:r>
      <w:hyperlink r:id="rId5" w:history="1">
        <w:r w:rsidRPr="00AD0554">
          <w:rPr>
            <w:rFonts w:ascii="Times New Roman" w:eastAsia="Times New Roman" w:hAnsi="Times New Roman" w:cs="Times New Roman"/>
            <w:sz w:val="26"/>
            <w:szCs w:val="26"/>
            <w:lang w:eastAsia="ru-RU"/>
          </w:rPr>
          <w:t>пунктом 4 статьи 62 ГК РФ</w:t>
        </w:r>
      </w:hyperlink>
      <w:r w:rsidRPr="00AD0554">
        <w:rPr>
          <w:rFonts w:ascii="Times New Roman" w:eastAsia="Times New Roman" w:hAnsi="Times New Roman" w:cs="Times New Roman"/>
          <w:sz w:val="26"/>
          <w:szCs w:val="26"/>
          <w:lang w:eastAsia="ru-RU"/>
        </w:rPr>
        <w:t>, с момента назначения ликвидатора к нему переходят полномочия единоличного исполнительного органа юридического лица. В связи с этим на ликвидатора распространяется обязанность в исчислении страховых взносов исходя из минимальной базы (величины МРОТ) ежемесячно.</w:t>
      </w:r>
    </w:p>
    <w:p w:rsid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Согласно</w:t>
      </w:r>
      <w:hyperlink r:id="rId6" w:history="1">
        <w:r w:rsidRPr="00AD0554">
          <w:rPr>
            <w:rFonts w:ascii="Times New Roman" w:eastAsia="Times New Roman" w:hAnsi="Times New Roman" w:cs="Times New Roman"/>
            <w:sz w:val="26"/>
            <w:szCs w:val="26"/>
            <w:lang w:eastAsia="ru-RU"/>
          </w:rPr>
          <w:t> пункту 15 статьи 431 НК РФ</w:t>
        </w:r>
      </w:hyperlink>
      <w:r w:rsidRPr="00AD0554">
        <w:rPr>
          <w:rFonts w:ascii="Times New Roman" w:eastAsia="Times New Roman" w:hAnsi="Times New Roman" w:cs="Times New Roman"/>
          <w:sz w:val="26"/>
          <w:szCs w:val="26"/>
          <w:lang w:eastAsia="ru-RU"/>
        </w:rPr>
        <w:t>, в случае прекращения деятельности организации до истечения расчетного периода плательщик обязан представить расчет по страховым взносам до даты составления промежуточного ликвидационного баланса.</w:t>
      </w:r>
    </w:p>
    <w:p w:rsid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Pr="00AD0554" w:rsidRDefault="00AD0554" w:rsidP="00AD0554">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При этом ликвидатор исполняет функции единоличного исполнительного органа вплоть до внесения в Единый государственный реестр юридических лиц (ЕГРЮЛ) записи о ликвидации организации. В отношении выплат, произведенных в пользу ликвидатора за период с даты представления расчета по страховым взносам до момента завершения процедуры ликвидации, ежемесячно определяется минимальная база для исчисления страховых взносов, исходя из величины МРОТ. Расчет по страховым взносам за указанный период представляется не позднее дня внесения в ЕГРЮЛ соответствующей записи о ликвидации юридического лица.</w:t>
      </w:r>
    </w:p>
    <w:p w:rsidR="00AD0554" w:rsidRPr="00AD0554" w:rsidRDefault="00AD0554" w:rsidP="00AD0554">
      <w:pPr>
        <w:shd w:val="clear" w:color="auto" w:fill="FFFFFF"/>
        <w:spacing w:after="0" w:line="240" w:lineRule="auto"/>
        <w:jc w:val="both"/>
        <w:rPr>
          <w:rFonts w:ascii="Times New Roman" w:eastAsia="Times New Roman" w:hAnsi="Times New Roman" w:cs="Times New Roman"/>
          <w:sz w:val="26"/>
          <w:szCs w:val="26"/>
          <w:lang w:eastAsia="ru-RU"/>
        </w:rPr>
      </w:pPr>
    </w:p>
    <w:p w:rsidR="00AD0554" w:rsidRDefault="00AD0554" w:rsidP="00AD0554">
      <w:pPr>
        <w:shd w:val="clear" w:color="auto" w:fill="FFFFFF"/>
        <w:spacing w:after="10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При исключении из ЕГРЮЛ в упрощённом порядке (</w:t>
      </w:r>
      <w:hyperlink r:id="rId7" w:history="1">
        <w:r w:rsidRPr="00AD0554">
          <w:rPr>
            <w:rFonts w:ascii="Times New Roman" w:eastAsia="Times New Roman" w:hAnsi="Times New Roman" w:cs="Times New Roman"/>
            <w:sz w:val="26"/>
            <w:szCs w:val="26"/>
            <w:lang w:eastAsia="ru-RU"/>
          </w:rPr>
          <w:t>ст. 21.3 Закона № 129-ФЗ</w:t>
        </w:r>
      </w:hyperlink>
      <w:r w:rsidRPr="00AD0554">
        <w:rPr>
          <w:rFonts w:ascii="Times New Roman" w:eastAsia="Times New Roman" w:hAnsi="Times New Roman" w:cs="Times New Roman"/>
          <w:sz w:val="26"/>
          <w:szCs w:val="26"/>
          <w:lang w:eastAsia="ru-RU"/>
        </w:rPr>
        <w:t>):</w:t>
      </w:r>
    </w:p>
    <w:p w:rsidR="00AD0554" w:rsidRPr="00AD0554" w:rsidRDefault="00AD0554" w:rsidP="00AD0554">
      <w:pPr>
        <w:shd w:val="clear" w:color="auto" w:fill="FFFFFF"/>
        <w:spacing w:after="10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Учредители подают заявление об исключении юридического лица из ЕГРЮЛ, подтверждая завершение расчётов с кредиторами и работниками, а также исполнение обязанностей по уплате налогов и сдаче отчётности.</w:t>
      </w:r>
    </w:p>
    <w:p w:rsidR="00AD0554" w:rsidRDefault="00AD0554" w:rsidP="00AD0554">
      <w:pPr>
        <w:shd w:val="clear" w:color="auto" w:fill="FFFFFF"/>
        <w:spacing w:after="100" w:line="240" w:lineRule="auto"/>
        <w:jc w:val="both"/>
        <w:rPr>
          <w:rFonts w:ascii="Times New Roman" w:eastAsia="Times New Roman" w:hAnsi="Times New Roman" w:cs="Times New Roman"/>
          <w:sz w:val="26"/>
          <w:szCs w:val="26"/>
          <w:lang w:eastAsia="ru-RU"/>
        </w:rPr>
      </w:pPr>
    </w:p>
    <w:p w:rsidR="00AD0554" w:rsidRPr="00AD0554" w:rsidRDefault="00AD0554" w:rsidP="00AD0554">
      <w:pPr>
        <w:shd w:val="clear" w:color="auto" w:fill="FFFFFF"/>
        <w:spacing w:after="100" w:line="240" w:lineRule="auto"/>
        <w:ind w:firstLine="708"/>
        <w:jc w:val="both"/>
        <w:rPr>
          <w:rFonts w:ascii="Times New Roman" w:eastAsia="Times New Roman" w:hAnsi="Times New Roman" w:cs="Times New Roman"/>
          <w:sz w:val="26"/>
          <w:szCs w:val="26"/>
          <w:lang w:eastAsia="ru-RU"/>
        </w:rPr>
      </w:pPr>
      <w:r w:rsidRPr="00AD0554">
        <w:rPr>
          <w:rFonts w:ascii="Times New Roman" w:eastAsia="Times New Roman" w:hAnsi="Times New Roman" w:cs="Times New Roman"/>
          <w:sz w:val="26"/>
          <w:szCs w:val="26"/>
          <w:lang w:eastAsia="ru-RU"/>
        </w:rPr>
        <w:t>До дня исключения из ЕГРЮЛ физическое лицо выполняет функции единоличного исполнительного органа. Следовательно, по выплатам в его пользу до момента исключения также ежемесячно определяется минимальная база для взносов (исходя из МРОТ), а расчёт по взносам представляется не позднее дня внесения записи об исключении из ЕГРЮЛ.</w:t>
      </w:r>
    </w:p>
    <w:p w:rsidR="00A214CF" w:rsidRDefault="00A214CF"/>
    <w:sectPr w:rsidR="00A21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54"/>
    <w:rsid w:val="00A214CF"/>
    <w:rsid w:val="00AD0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D014E-FB69-4754-B6D3-BA9D73E4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D05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55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05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05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6557">
      <w:bodyDiv w:val="1"/>
      <w:marLeft w:val="0"/>
      <w:marRight w:val="0"/>
      <w:marTop w:val="0"/>
      <w:marBottom w:val="0"/>
      <w:divBdr>
        <w:top w:val="none" w:sz="0" w:space="0" w:color="auto"/>
        <w:left w:val="none" w:sz="0" w:space="0" w:color="auto"/>
        <w:bottom w:val="none" w:sz="0" w:space="0" w:color="auto"/>
        <w:right w:val="none" w:sz="0" w:space="0" w:color="auto"/>
      </w:divBdr>
      <w:divsChild>
        <w:div w:id="1808011665">
          <w:marLeft w:val="0"/>
          <w:marRight w:val="0"/>
          <w:marTop w:val="0"/>
          <w:marBottom w:val="0"/>
          <w:divBdr>
            <w:top w:val="none" w:sz="0" w:space="0" w:color="auto"/>
            <w:left w:val="none" w:sz="0" w:space="0" w:color="auto"/>
            <w:bottom w:val="none" w:sz="0" w:space="0" w:color="auto"/>
            <w:right w:val="none" w:sz="0" w:space="0" w:color="auto"/>
          </w:divBdr>
          <w:divsChild>
            <w:div w:id="802582685">
              <w:marLeft w:val="0"/>
              <w:marRight w:val="0"/>
              <w:marTop w:val="100"/>
              <w:marBottom w:val="100"/>
              <w:divBdr>
                <w:top w:val="none" w:sz="0" w:space="0" w:color="auto"/>
                <w:left w:val="none" w:sz="0" w:space="0" w:color="auto"/>
                <w:bottom w:val="none" w:sz="0" w:space="0" w:color="auto"/>
                <w:right w:val="none" w:sz="0" w:space="0" w:color="auto"/>
              </w:divBdr>
            </w:div>
          </w:divsChild>
        </w:div>
        <w:div w:id="1435902728">
          <w:marLeft w:val="0"/>
          <w:marRight w:val="0"/>
          <w:marTop w:val="100"/>
          <w:marBottom w:val="100"/>
          <w:divBdr>
            <w:top w:val="none" w:sz="0" w:space="0" w:color="auto"/>
            <w:left w:val="none" w:sz="0" w:space="0" w:color="auto"/>
            <w:bottom w:val="none" w:sz="0" w:space="0" w:color="auto"/>
            <w:right w:val="none" w:sz="0" w:space="0" w:color="auto"/>
          </w:divBdr>
          <w:divsChild>
            <w:div w:id="828793328">
              <w:marLeft w:val="0"/>
              <w:marRight w:val="0"/>
              <w:marTop w:val="0"/>
              <w:marBottom w:val="0"/>
              <w:divBdr>
                <w:top w:val="none" w:sz="0" w:space="0" w:color="auto"/>
                <w:left w:val="none" w:sz="0" w:space="0" w:color="auto"/>
                <w:bottom w:val="none" w:sz="0" w:space="0" w:color="auto"/>
                <w:right w:val="none" w:sz="0" w:space="0" w:color="auto"/>
              </w:divBdr>
              <w:divsChild>
                <w:div w:id="277105834">
                  <w:marLeft w:val="0"/>
                  <w:marRight w:val="0"/>
                  <w:marTop w:val="0"/>
                  <w:marBottom w:val="0"/>
                  <w:divBdr>
                    <w:top w:val="none" w:sz="0" w:space="0" w:color="auto"/>
                    <w:left w:val="none" w:sz="0" w:space="0" w:color="auto"/>
                    <w:bottom w:val="none" w:sz="0" w:space="0" w:color="auto"/>
                    <w:right w:val="none" w:sz="0" w:space="0" w:color="auto"/>
                  </w:divBdr>
                  <w:divsChild>
                    <w:div w:id="1403874575">
                      <w:marLeft w:val="-225"/>
                      <w:marRight w:val="-225"/>
                      <w:marTop w:val="0"/>
                      <w:marBottom w:val="0"/>
                      <w:divBdr>
                        <w:top w:val="none" w:sz="0" w:space="0" w:color="auto"/>
                        <w:left w:val="none" w:sz="0" w:space="0" w:color="auto"/>
                        <w:bottom w:val="none" w:sz="0" w:space="0" w:color="auto"/>
                        <w:right w:val="none" w:sz="0" w:space="0" w:color="auto"/>
                      </w:divBdr>
                      <w:divsChild>
                        <w:div w:id="1390036515">
                          <w:marLeft w:val="0"/>
                          <w:marRight w:val="0"/>
                          <w:marTop w:val="0"/>
                          <w:marBottom w:val="0"/>
                          <w:divBdr>
                            <w:top w:val="none" w:sz="0" w:space="0" w:color="auto"/>
                            <w:left w:val="none" w:sz="0" w:space="0" w:color="auto"/>
                            <w:bottom w:val="none" w:sz="0" w:space="0" w:color="auto"/>
                            <w:right w:val="none" w:sz="0" w:space="0" w:color="auto"/>
                          </w:divBdr>
                          <w:divsChild>
                            <w:div w:id="865949134">
                              <w:marLeft w:val="0"/>
                              <w:marRight w:val="0"/>
                              <w:marTop w:val="0"/>
                              <w:marBottom w:val="0"/>
                              <w:divBdr>
                                <w:top w:val="none" w:sz="0" w:space="0" w:color="auto"/>
                                <w:left w:val="none" w:sz="0" w:space="0" w:color="auto"/>
                                <w:bottom w:val="none" w:sz="0" w:space="0" w:color="auto"/>
                                <w:right w:val="none" w:sz="0" w:space="0" w:color="auto"/>
                              </w:divBdr>
                              <w:divsChild>
                                <w:div w:id="18789314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gov.ru/proxy/ips/?docbody=&amp;firstDoc=1&amp;lastDoc=1&amp;nd=1020724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log.garant.ru/fns/nk/23e49d47fcc69dbc2ae38897d844c8d6/" TargetMode="External"/><Relationship Id="rId5" Type="http://schemas.openxmlformats.org/officeDocument/2006/relationships/hyperlink" Target="http://pravo.gov.ru/proxy/ips/?docbody=&amp;link_id=0&amp;nd=102033239" TargetMode="External"/><Relationship Id="rId4" Type="http://schemas.openxmlformats.org/officeDocument/2006/relationships/hyperlink" Target="https://www.nalog.gov.ru/rn77/about_fts/about_nalog/1663570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388</Words>
  <Characters>2213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Свердловской области</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Инспектор</dc:creator>
  <cp:keywords/>
  <dc:description/>
  <cp:lastModifiedBy>Инспектор</cp:lastModifiedBy>
  <cp:revision>1</cp:revision>
  <dcterms:created xsi:type="dcterms:W3CDTF">2026-07-30T04:10:00Z</dcterms:created>
  <dcterms:modified xsi:type="dcterms:W3CDTF">2026-07-30T04:13:00Z</dcterms:modified>
</cp:coreProperties>
</file>